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6E93328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生态科技新城杭集镇2025年污水处理提质增效工程EPC工程总承包</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石材材料采购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bookmarkStart w:id="2" w:name="_GoBack"/>
      <w:bookmarkEnd w:id="2"/>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8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22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57"/>
        <w:gridCol w:w="1942"/>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D4E268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生态科技新城杭集镇2025年污水处理提质增效工程EPC工程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57"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57"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57"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57"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57"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57"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57"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22 </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25 </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57"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72"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57"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4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57"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57"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57"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szCs w:val="21"/>
          <w:lang w:val="en-US" w:eastAsia="zh-CN"/>
        </w:rPr>
        <w:t>材料采购</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79"/>
        <w:gridCol w:w="1350"/>
        <w:gridCol w:w="750"/>
        <w:gridCol w:w="915"/>
        <w:gridCol w:w="1575"/>
        <w:gridCol w:w="1590"/>
        <w:gridCol w:w="1530"/>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66" w:type="dxa"/>
            <w:shd w:val="clear" w:color="auto" w:fill="auto"/>
            <w:vAlign w:val="center"/>
          </w:tcPr>
          <w:p w14:paraId="51E9DF18">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1479" w:type="dxa"/>
            <w:shd w:val="clear" w:color="auto" w:fill="auto"/>
            <w:vAlign w:val="center"/>
          </w:tcPr>
          <w:p w14:paraId="69BE5FD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350" w:type="dxa"/>
            <w:shd w:val="clear" w:color="auto" w:fill="auto"/>
            <w:vAlign w:val="center"/>
          </w:tcPr>
          <w:p w14:paraId="7063CC3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750" w:type="dxa"/>
            <w:shd w:val="clear" w:color="auto" w:fill="auto"/>
            <w:vAlign w:val="center"/>
          </w:tcPr>
          <w:p w14:paraId="3BAD5D81">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15" w:type="dxa"/>
            <w:shd w:val="clear" w:color="auto" w:fill="auto"/>
            <w:vAlign w:val="center"/>
          </w:tcPr>
          <w:p w14:paraId="2F6FC91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575" w:type="dxa"/>
            <w:shd w:val="clear" w:color="auto" w:fill="auto"/>
            <w:vAlign w:val="center"/>
          </w:tcPr>
          <w:p w14:paraId="1A6D60C5">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最高限价</w:t>
            </w:r>
          </w:p>
          <w:p w14:paraId="0FCEADCB">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（含</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税价）</w:t>
            </w:r>
          </w:p>
        </w:tc>
        <w:tc>
          <w:tcPr>
            <w:tcW w:w="1590" w:type="dxa"/>
            <w:shd w:val="clear" w:color="auto" w:fill="auto"/>
            <w:vAlign w:val="center"/>
          </w:tcPr>
          <w:p w14:paraId="57B94FDB">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w:t>
            </w:r>
          </w:p>
          <w:p w14:paraId="204CA9B3">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含</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530" w:type="dxa"/>
            <w:shd w:val="clear" w:color="auto" w:fill="auto"/>
            <w:vAlign w:val="center"/>
          </w:tcPr>
          <w:p w14:paraId="6B2ADE2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1479"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平石</w:t>
            </w:r>
          </w:p>
        </w:tc>
        <w:tc>
          <w:tcPr>
            <w:tcW w:w="1350" w:type="dxa"/>
            <w:vAlign w:val="center"/>
          </w:tcPr>
          <w:p w14:paraId="495645E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70*300*500mm</w:t>
            </w:r>
          </w:p>
        </w:tc>
        <w:tc>
          <w:tcPr>
            <w:tcW w:w="750"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vAlign w:val="center"/>
          </w:tcPr>
          <w:p w14:paraId="0A2C1327">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3329</w:t>
            </w:r>
          </w:p>
        </w:tc>
        <w:tc>
          <w:tcPr>
            <w:tcW w:w="1575"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590"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116515</w:t>
            </w:r>
          </w:p>
        </w:tc>
        <w:tc>
          <w:tcPr>
            <w:tcW w:w="1530" w:type="dxa"/>
            <w:vAlign w:val="center"/>
          </w:tcPr>
          <w:p w14:paraId="5E75AF30">
            <w:pPr>
              <w:jc w:val="center"/>
              <w:rPr>
                <w:rFonts w:hint="default"/>
                <w:vertAlign w:val="baseline"/>
                <w:lang w:val="en-US" w:eastAsia="zh-CN"/>
              </w:rPr>
            </w:pPr>
          </w:p>
        </w:tc>
      </w:tr>
      <w:tr w14:paraId="658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66" w:type="dxa"/>
            <w:vAlign w:val="center"/>
          </w:tcPr>
          <w:p w14:paraId="09E87AEB">
            <w:pPr>
              <w:jc w:val="center"/>
              <w:rPr>
                <w:rFonts w:hint="default"/>
                <w:vertAlign w:val="baseline"/>
                <w:lang w:val="en-US" w:eastAsia="zh-CN"/>
              </w:rPr>
            </w:pPr>
            <w:r>
              <w:rPr>
                <w:rFonts w:hint="eastAsia"/>
                <w:vertAlign w:val="baseline"/>
                <w:lang w:val="en-US" w:eastAsia="zh-CN"/>
              </w:rPr>
              <w:t>2</w:t>
            </w:r>
          </w:p>
        </w:tc>
        <w:tc>
          <w:tcPr>
            <w:tcW w:w="1479" w:type="dxa"/>
            <w:vAlign w:val="center"/>
          </w:tcPr>
          <w:p w14:paraId="1BD08B7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边石</w:t>
            </w:r>
          </w:p>
        </w:tc>
        <w:tc>
          <w:tcPr>
            <w:tcW w:w="1350" w:type="dxa"/>
            <w:vAlign w:val="center"/>
          </w:tcPr>
          <w:p w14:paraId="367DFB9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75*200*990mm</w:t>
            </w:r>
          </w:p>
        </w:tc>
        <w:tc>
          <w:tcPr>
            <w:tcW w:w="750" w:type="dxa"/>
            <w:vAlign w:val="center"/>
          </w:tcPr>
          <w:p w14:paraId="705A26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vAlign w:val="center"/>
          </w:tcPr>
          <w:p w14:paraId="2DE8C388">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3334 </w:t>
            </w:r>
          </w:p>
        </w:tc>
        <w:tc>
          <w:tcPr>
            <w:tcW w:w="1575" w:type="dxa"/>
            <w:shd w:val="clear" w:color="auto" w:fill="auto"/>
            <w:vAlign w:val="center"/>
          </w:tcPr>
          <w:p w14:paraId="13E733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590" w:type="dxa"/>
            <w:vAlign w:val="center"/>
          </w:tcPr>
          <w:p w14:paraId="62A3FAA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86684</w:t>
            </w:r>
          </w:p>
        </w:tc>
        <w:tc>
          <w:tcPr>
            <w:tcW w:w="1530" w:type="dxa"/>
            <w:vAlign w:val="center"/>
          </w:tcPr>
          <w:p w14:paraId="317FFD32">
            <w:pPr>
              <w:jc w:val="center"/>
              <w:rPr>
                <w:rFonts w:hint="eastAsia"/>
                <w:vertAlign w:val="baseline"/>
                <w:lang w:val="en-US" w:eastAsia="zh-CN"/>
              </w:rPr>
            </w:pPr>
          </w:p>
        </w:tc>
      </w:tr>
      <w:tr w14:paraId="384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66" w:type="dxa"/>
            <w:vAlign w:val="center"/>
          </w:tcPr>
          <w:p w14:paraId="36060160">
            <w:pPr>
              <w:jc w:val="center"/>
              <w:rPr>
                <w:rFonts w:hint="default"/>
                <w:vertAlign w:val="baseline"/>
                <w:lang w:val="en-US" w:eastAsia="zh-CN"/>
              </w:rPr>
            </w:pPr>
            <w:r>
              <w:rPr>
                <w:rFonts w:hint="eastAsia"/>
                <w:vertAlign w:val="baseline"/>
                <w:lang w:val="en-US" w:eastAsia="zh-CN"/>
              </w:rPr>
              <w:t>3</w:t>
            </w:r>
          </w:p>
        </w:tc>
        <w:tc>
          <w:tcPr>
            <w:tcW w:w="1479" w:type="dxa"/>
            <w:vAlign w:val="center"/>
          </w:tcPr>
          <w:p w14:paraId="72784D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侧石</w:t>
            </w:r>
          </w:p>
        </w:tc>
        <w:tc>
          <w:tcPr>
            <w:tcW w:w="1350" w:type="dxa"/>
            <w:vAlign w:val="center"/>
          </w:tcPr>
          <w:p w14:paraId="556F80E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125*275*1000，倒角10*10</w:t>
            </w:r>
          </w:p>
        </w:tc>
        <w:tc>
          <w:tcPr>
            <w:tcW w:w="750" w:type="dxa"/>
            <w:vAlign w:val="center"/>
          </w:tcPr>
          <w:p w14:paraId="496FAE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vAlign w:val="center"/>
          </w:tcPr>
          <w:p w14:paraId="7339946B">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3523</w:t>
            </w:r>
          </w:p>
        </w:tc>
        <w:tc>
          <w:tcPr>
            <w:tcW w:w="1575" w:type="dxa"/>
            <w:shd w:val="clear" w:color="auto" w:fill="auto"/>
            <w:vAlign w:val="center"/>
          </w:tcPr>
          <w:p w14:paraId="652878B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590" w:type="dxa"/>
            <w:vAlign w:val="center"/>
          </w:tcPr>
          <w:p w14:paraId="70230F0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193765</w:t>
            </w:r>
          </w:p>
        </w:tc>
        <w:tc>
          <w:tcPr>
            <w:tcW w:w="1530" w:type="dxa"/>
            <w:vAlign w:val="center"/>
          </w:tcPr>
          <w:p w14:paraId="1D9E033C">
            <w:pPr>
              <w:jc w:val="center"/>
              <w:rPr>
                <w:rFonts w:hint="default"/>
                <w:vertAlign w:val="baseline"/>
                <w:lang w:val="en-US" w:eastAsia="zh-CN"/>
              </w:rPr>
            </w:pPr>
          </w:p>
        </w:tc>
      </w:tr>
      <w:tr w14:paraId="5D6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66" w:type="dxa"/>
            <w:vAlign w:val="center"/>
          </w:tcPr>
          <w:p w14:paraId="0E14F68C">
            <w:pPr>
              <w:jc w:val="center"/>
              <w:rPr>
                <w:rFonts w:hint="default"/>
                <w:vertAlign w:val="baseline"/>
                <w:lang w:val="en-US" w:eastAsia="zh-CN"/>
              </w:rPr>
            </w:pPr>
            <w:r>
              <w:rPr>
                <w:rFonts w:hint="eastAsia"/>
                <w:vertAlign w:val="baseline"/>
                <w:lang w:val="en-US" w:eastAsia="zh-CN"/>
              </w:rPr>
              <w:t>4</w:t>
            </w:r>
          </w:p>
        </w:tc>
        <w:tc>
          <w:tcPr>
            <w:tcW w:w="1479" w:type="dxa"/>
            <w:vAlign w:val="center"/>
          </w:tcPr>
          <w:p w14:paraId="27A96A5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2"/>
                <w:szCs w:val="22"/>
                <w:u w:val="none"/>
                <w:lang w:val="en-US" w:eastAsia="zh-CN" w:bidi="ar"/>
              </w:rPr>
              <w:t>普通</w:t>
            </w: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侧石</w:t>
            </w:r>
          </w:p>
        </w:tc>
        <w:tc>
          <w:tcPr>
            <w:tcW w:w="1350" w:type="dxa"/>
            <w:vAlign w:val="center"/>
          </w:tcPr>
          <w:p w14:paraId="174C87E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150*320*1000，倒角10*10</w:t>
            </w:r>
          </w:p>
        </w:tc>
        <w:tc>
          <w:tcPr>
            <w:tcW w:w="750" w:type="dxa"/>
            <w:vAlign w:val="center"/>
          </w:tcPr>
          <w:p w14:paraId="5C84C95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4E97AA2C">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4021 </w:t>
            </w:r>
          </w:p>
        </w:tc>
        <w:tc>
          <w:tcPr>
            <w:tcW w:w="1575" w:type="dxa"/>
            <w:shd w:val="clear" w:color="auto" w:fill="auto"/>
            <w:vAlign w:val="center"/>
          </w:tcPr>
          <w:p w14:paraId="6BAD306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590" w:type="dxa"/>
            <w:vAlign w:val="center"/>
          </w:tcPr>
          <w:p w14:paraId="5937CF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486541</w:t>
            </w:r>
          </w:p>
        </w:tc>
        <w:tc>
          <w:tcPr>
            <w:tcW w:w="1530" w:type="dxa"/>
            <w:vAlign w:val="center"/>
          </w:tcPr>
          <w:p w14:paraId="5EC5BCB8">
            <w:pPr>
              <w:jc w:val="center"/>
              <w:rPr>
                <w:rFonts w:hint="default"/>
                <w:vertAlign w:val="baseline"/>
                <w:lang w:val="en-US" w:eastAsia="zh-CN"/>
              </w:rPr>
            </w:pPr>
            <w:r>
              <w:rPr>
                <w:rFonts w:hint="eastAsia"/>
                <w:vertAlign w:val="baseline"/>
                <w:lang w:val="en-US" w:eastAsia="zh-CN"/>
              </w:rPr>
              <w:t>见图1</w:t>
            </w:r>
          </w:p>
        </w:tc>
      </w:tr>
      <w:tr w14:paraId="3DA9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6" w:type="dxa"/>
            <w:vAlign w:val="center"/>
          </w:tcPr>
          <w:p w14:paraId="2713356A">
            <w:pPr>
              <w:jc w:val="center"/>
              <w:rPr>
                <w:rFonts w:hint="default"/>
                <w:vertAlign w:val="baseline"/>
                <w:lang w:val="en-US" w:eastAsia="zh-CN"/>
              </w:rPr>
            </w:pPr>
            <w:r>
              <w:rPr>
                <w:rFonts w:hint="eastAsia"/>
                <w:vertAlign w:val="baseline"/>
                <w:lang w:val="en-US" w:eastAsia="zh-CN"/>
              </w:rPr>
              <w:t>5</w:t>
            </w:r>
          </w:p>
        </w:tc>
        <w:tc>
          <w:tcPr>
            <w:tcW w:w="1479" w:type="dxa"/>
            <w:vAlign w:val="center"/>
          </w:tcPr>
          <w:p w14:paraId="7A3E4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普通花岗岩侧石（圆弧段）R0.75</w:t>
            </w:r>
          </w:p>
        </w:tc>
        <w:tc>
          <w:tcPr>
            <w:tcW w:w="1350" w:type="dxa"/>
            <w:vAlign w:val="center"/>
          </w:tcPr>
          <w:p w14:paraId="5A3F57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125*275   倒角10*10，芝麻灰花岗岩，侧分带断面宽度1.5m</w:t>
            </w:r>
          </w:p>
        </w:tc>
        <w:tc>
          <w:tcPr>
            <w:tcW w:w="750" w:type="dxa"/>
            <w:vAlign w:val="center"/>
          </w:tcPr>
          <w:p w14:paraId="3DDC4E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31C776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575" w:type="dxa"/>
            <w:shd w:val="clear" w:color="auto" w:fill="auto"/>
            <w:vAlign w:val="center"/>
          </w:tcPr>
          <w:p w14:paraId="5E4137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590" w:type="dxa"/>
            <w:vAlign w:val="center"/>
          </w:tcPr>
          <w:p w14:paraId="20F6A5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3504</w:t>
            </w:r>
          </w:p>
        </w:tc>
        <w:tc>
          <w:tcPr>
            <w:tcW w:w="1530" w:type="dxa"/>
            <w:vAlign w:val="center"/>
          </w:tcPr>
          <w:p w14:paraId="6E89D47A">
            <w:pPr>
              <w:jc w:val="center"/>
              <w:rPr>
                <w:rFonts w:hint="eastAsia" w:cs="Times New Roman"/>
                <w:color w:val="000000"/>
                <w:kern w:val="2"/>
                <w:sz w:val="21"/>
                <w:szCs w:val="24"/>
                <w:lang w:val="en-US" w:eastAsia="zh-CN" w:bidi="ar-SA"/>
              </w:rPr>
            </w:pPr>
          </w:p>
        </w:tc>
      </w:tr>
      <w:tr w14:paraId="66D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66" w:type="dxa"/>
            <w:vAlign w:val="center"/>
          </w:tcPr>
          <w:p w14:paraId="1606435F">
            <w:pPr>
              <w:jc w:val="center"/>
              <w:rPr>
                <w:rFonts w:hint="default"/>
                <w:vertAlign w:val="baseline"/>
                <w:lang w:val="en-US" w:eastAsia="zh-CN"/>
              </w:rPr>
            </w:pPr>
            <w:r>
              <w:rPr>
                <w:rFonts w:hint="eastAsia"/>
                <w:vertAlign w:val="baseline"/>
                <w:lang w:val="en-US" w:eastAsia="zh-CN"/>
              </w:rPr>
              <w:t>6</w:t>
            </w:r>
          </w:p>
        </w:tc>
        <w:tc>
          <w:tcPr>
            <w:tcW w:w="1479" w:type="dxa"/>
            <w:shd w:val="clear" w:color="auto" w:fill="auto"/>
            <w:vAlign w:val="center"/>
          </w:tcPr>
          <w:p w14:paraId="09E317FB">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普通花岗岩侧石（圆弧段）R1.25</w:t>
            </w:r>
          </w:p>
        </w:tc>
        <w:tc>
          <w:tcPr>
            <w:tcW w:w="1350" w:type="dxa"/>
            <w:shd w:val="clear" w:color="auto" w:fill="auto"/>
            <w:vAlign w:val="center"/>
          </w:tcPr>
          <w:p w14:paraId="6755E08F">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125*275  倒角10*10，芝麻灰花岗岩，侧分带断面宽度2.5m</w:t>
            </w:r>
          </w:p>
        </w:tc>
        <w:tc>
          <w:tcPr>
            <w:tcW w:w="750" w:type="dxa"/>
            <w:vAlign w:val="center"/>
          </w:tcPr>
          <w:p w14:paraId="1E6B441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6E657ACA">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8</w:t>
            </w:r>
          </w:p>
        </w:tc>
        <w:tc>
          <w:tcPr>
            <w:tcW w:w="1575" w:type="dxa"/>
            <w:shd w:val="clear" w:color="auto" w:fill="auto"/>
            <w:vAlign w:val="center"/>
          </w:tcPr>
          <w:p w14:paraId="2F05779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146</w:t>
            </w:r>
          </w:p>
        </w:tc>
        <w:tc>
          <w:tcPr>
            <w:tcW w:w="1590" w:type="dxa"/>
            <w:vAlign w:val="center"/>
          </w:tcPr>
          <w:p w14:paraId="7014760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11388</w:t>
            </w:r>
          </w:p>
        </w:tc>
        <w:tc>
          <w:tcPr>
            <w:tcW w:w="1530" w:type="dxa"/>
            <w:vAlign w:val="center"/>
          </w:tcPr>
          <w:p w14:paraId="3566F020">
            <w:pPr>
              <w:jc w:val="center"/>
              <w:rPr>
                <w:rFonts w:hint="eastAsia" w:cs="Times New Roman"/>
                <w:color w:val="000000"/>
                <w:kern w:val="2"/>
                <w:sz w:val="21"/>
                <w:szCs w:val="24"/>
                <w:lang w:val="en-US" w:eastAsia="zh-CN" w:bidi="ar-SA"/>
              </w:rPr>
            </w:pPr>
          </w:p>
        </w:tc>
      </w:tr>
      <w:tr w14:paraId="4E08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6" w:type="dxa"/>
            <w:vAlign w:val="center"/>
          </w:tcPr>
          <w:p w14:paraId="5B67789C">
            <w:pPr>
              <w:jc w:val="center"/>
              <w:rPr>
                <w:rFonts w:hint="default"/>
                <w:vertAlign w:val="baseline"/>
                <w:lang w:val="en-US" w:eastAsia="zh-CN"/>
              </w:rPr>
            </w:pPr>
            <w:r>
              <w:rPr>
                <w:rFonts w:hint="eastAsia"/>
                <w:vertAlign w:val="baseline"/>
                <w:lang w:val="en-US" w:eastAsia="zh-CN"/>
              </w:rPr>
              <w:t>7</w:t>
            </w:r>
          </w:p>
        </w:tc>
        <w:tc>
          <w:tcPr>
            <w:tcW w:w="1479" w:type="dxa"/>
            <w:shd w:val="clear" w:color="auto" w:fill="auto"/>
            <w:vAlign w:val="center"/>
          </w:tcPr>
          <w:p w14:paraId="61525475">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普通花岗岩侧石（圆弧段）R1.5</w:t>
            </w:r>
          </w:p>
        </w:tc>
        <w:tc>
          <w:tcPr>
            <w:tcW w:w="1350" w:type="dxa"/>
            <w:shd w:val="clear" w:color="auto" w:fill="auto"/>
            <w:vAlign w:val="center"/>
          </w:tcPr>
          <w:p w14:paraId="0981AD21">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125*275   倒角10*10，芝麻灰花岗岩，侧分带断面宽度3m</w:t>
            </w:r>
          </w:p>
        </w:tc>
        <w:tc>
          <w:tcPr>
            <w:tcW w:w="750" w:type="dxa"/>
            <w:vAlign w:val="center"/>
          </w:tcPr>
          <w:p w14:paraId="5841FF2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0AB2DEC8">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575" w:type="dxa"/>
            <w:shd w:val="clear" w:color="auto" w:fill="auto"/>
            <w:vAlign w:val="center"/>
          </w:tcPr>
          <w:p w14:paraId="06DD86A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146</w:t>
            </w:r>
          </w:p>
        </w:tc>
        <w:tc>
          <w:tcPr>
            <w:tcW w:w="1590" w:type="dxa"/>
            <w:vAlign w:val="center"/>
          </w:tcPr>
          <w:p w14:paraId="2B5C4D0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6862</w:t>
            </w:r>
          </w:p>
        </w:tc>
        <w:tc>
          <w:tcPr>
            <w:tcW w:w="1530" w:type="dxa"/>
            <w:vAlign w:val="center"/>
          </w:tcPr>
          <w:p w14:paraId="7BB7AB1E">
            <w:pPr>
              <w:jc w:val="center"/>
              <w:rPr>
                <w:rFonts w:hint="eastAsia" w:cs="Times New Roman"/>
                <w:color w:val="000000"/>
                <w:kern w:val="2"/>
                <w:sz w:val="21"/>
                <w:szCs w:val="24"/>
                <w:lang w:val="en-US" w:eastAsia="zh-CN" w:bidi="ar-SA"/>
              </w:rPr>
            </w:pPr>
          </w:p>
        </w:tc>
      </w:tr>
      <w:tr w14:paraId="658F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6" w:type="dxa"/>
            <w:vAlign w:val="center"/>
          </w:tcPr>
          <w:p w14:paraId="3831D15F">
            <w:pPr>
              <w:jc w:val="center"/>
              <w:rPr>
                <w:rFonts w:hint="default"/>
                <w:vertAlign w:val="baseline"/>
                <w:lang w:val="en-US" w:eastAsia="zh-CN"/>
              </w:rPr>
            </w:pPr>
            <w:r>
              <w:rPr>
                <w:rFonts w:hint="eastAsia"/>
                <w:vertAlign w:val="baseline"/>
                <w:lang w:val="en-US" w:eastAsia="zh-CN"/>
              </w:rPr>
              <w:t>8</w:t>
            </w:r>
          </w:p>
        </w:tc>
        <w:tc>
          <w:tcPr>
            <w:tcW w:w="1479" w:type="dxa"/>
            <w:shd w:val="clear" w:color="auto" w:fill="auto"/>
            <w:vAlign w:val="center"/>
          </w:tcPr>
          <w:p w14:paraId="56A89E41">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cs="宋体"/>
                <w:i w:val="0"/>
                <w:iCs w:val="0"/>
                <w:color w:val="000000"/>
                <w:kern w:val="0"/>
                <w:sz w:val="22"/>
                <w:szCs w:val="22"/>
                <w:u w:val="none"/>
                <w:lang w:val="en-US" w:eastAsia="zh-CN" w:bidi="ar"/>
              </w:rPr>
              <w:t>花饰</w:t>
            </w: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侧石</w:t>
            </w:r>
          </w:p>
        </w:tc>
        <w:tc>
          <w:tcPr>
            <w:tcW w:w="1350" w:type="dxa"/>
            <w:shd w:val="clear" w:color="auto" w:fill="auto"/>
            <w:vAlign w:val="center"/>
          </w:tcPr>
          <w:p w14:paraId="17253D04">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150*320*1000，倒角10*10</w:t>
            </w:r>
          </w:p>
        </w:tc>
        <w:tc>
          <w:tcPr>
            <w:tcW w:w="750" w:type="dxa"/>
            <w:vAlign w:val="center"/>
          </w:tcPr>
          <w:p w14:paraId="6068342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042E5173">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1012</w:t>
            </w:r>
          </w:p>
        </w:tc>
        <w:tc>
          <w:tcPr>
            <w:tcW w:w="1575" w:type="dxa"/>
            <w:shd w:val="clear" w:color="auto" w:fill="auto"/>
            <w:vAlign w:val="center"/>
          </w:tcPr>
          <w:p w14:paraId="5A7D76E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590" w:type="dxa"/>
            <w:vAlign w:val="center"/>
          </w:tcPr>
          <w:p w14:paraId="45631FD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122452</w:t>
            </w:r>
          </w:p>
        </w:tc>
        <w:tc>
          <w:tcPr>
            <w:tcW w:w="1530" w:type="dxa"/>
            <w:vAlign w:val="center"/>
          </w:tcPr>
          <w:p w14:paraId="44A87D84">
            <w:pPr>
              <w:jc w:val="center"/>
              <w:rPr>
                <w:rFonts w:hint="default" w:cs="Times New Roman"/>
                <w:color w:val="000000"/>
                <w:kern w:val="2"/>
                <w:sz w:val="21"/>
                <w:szCs w:val="24"/>
                <w:lang w:val="en-US" w:eastAsia="zh-CN" w:bidi="ar-SA"/>
              </w:rPr>
            </w:pPr>
            <w:r>
              <w:rPr>
                <w:rFonts w:hint="eastAsia"/>
                <w:vertAlign w:val="baseline"/>
                <w:lang w:val="en-US" w:eastAsia="zh-CN"/>
              </w:rPr>
              <w:t>见图2</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1479"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14:paraId="317C8DB3">
            <w:pPr>
              <w:jc w:val="center"/>
              <w:rPr>
                <w:rFonts w:hint="default"/>
                <w:vertAlign w:val="baseline"/>
                <w:lang w:val="en-US" w:eastAsia="zh-CN"/>
              </w:rPr>
            </w:pPr>
          </w:p>
        </w:tc>
        <w:tc>
          <w:tcPr>
            <w:tcW w:w="750"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15"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575"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590" w:type="dxa"/>
            <w:shd w:val="clear" w:color="auto" w:fill="auto"/>
            <w:vAlign w:val="center"/>
          </w:tcPr>
          <w:p w14:paraId="75205A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1027711</w:t>
            </w:r>
          </w:p>
        </w:tc>
        <w:tc>
          <w:tcPr>
            <w:tcW w:w="1530" w:type="dxa"/>
            <w:vAlign w:val="center"/>
          </w:tcPr>
          <w:p w14:paraId="629E1A63">
            <w:pPr>
              <w:jc w:val="center"/>
              <w:rPr>
                <w:rFonts w:hint="default"/>
                <w:vertAlign w:val="baseline"/>
                <w:lang w:val="en-US" w:eastAsia="zh-CN"/>
              </w:rPr>
            </w:pPr>
          </w:p>
        </w:tc>
      </w:tr>
    </w:tbl>
    <w:p w14:paraId="75EF4BE6">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注：石材经过建设单位认可的第三方检测单位检测，并出具相关报告，样品及检测费用包含在综合单价中。若样品进行验收检测后判定为不合格， 3个工作日内重新提供样品或对原样品进行整改。复检费用（包括但不限于检测费、人工费、材料损耗费等）由中标方承担。</w:t>
      </w:r>
    </w:p>
    <w:p w14:paraId="620F7424">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3、结算方式：中标材料单价（含3%税）*对应材料数量=结算总价（含3%税）</w:t>
      </w:r>
    </w:p>
    <w:p w14:paraId="08C17393">
      <w:pPr>
        <w:numPr>
          <w:ilvl w:val="0"/>
          <w:numId w:val="0"/>
        </w:numPr>
        <w:autoSpaceDE w:val="0"/>
        <w:autoSpaceDN w:val="0"/>
        <w:adjustRightInd w:val="0"/>
        <w:snapToGrid w:val="0"/>
        <w:spacing w:line="480" w:lineRule="exact"/>
        <w:ind w:firstLine="420" w:firstLineChars="200"/>
        <w:rPr>
          <w:rFonts w:hint="default" w:ascii="宋体" w:hAnsi="宋体" w:cs="宋体"/>
          <w:color w:val="FF0000"/>
          <w:szCs w:val="21"/>
          <w:lang w:val="en-US" w:eastAsia="zh-CN"/>
        </w:rPr>
      </w:pPr>
      <w:r>
        <w:rPr>
          <w:rFonts w:hint="eastAsia" w:ascii="宋体" w:hAnsi="宋体" w:cs="宋体"/>
          <w:color w:val="FF0000"/>
          <w:szCs w:val="21"/>
          <w:lang w:val="en-US" w:eastAsia="zh-CN"/>
        </w:rPr>
        <w:t>4、技术规格要求：</w:t>
      </w:r>
    </w:p>
    <w:p w14:paraId="0FDB557B">
      <w:pPr>
        <w:numPr>
          <w:ilvl w:val="0"/>
          <w:numId w:val="0"/>
        </w:numPr>
        <w:autoSpaceDE w:val="0"/>
        <w:autoSpaceDN w:val="0"/>
        <w:adjustRightInd w:val="0"/>
        <w:snapToGrid w:val="0"/>
        <w:spacing w:line="240" w:lineRule="auto"/>
        <w:ind w:left="0" w:leftChars="0" w:firstLine="0" w:firstLineChars="0"/>
        <w:jc w:val="both"/>
        <w:rPr>
          <w:rFonts w:hint="eastAsia" w:ascii="宋体" w:hAnsi="宋体" w:cs="宋体"/>
          <w:i w:val="0"/>
          <w:iCs w:val="0"/>
          <w:color w:val="000000"/>
          <w:kern w:val="0"/>
          <w:sz w:val="21"/>
          <w:szCs w:val="21"/>
          <w:u w:val="none"/>
          <w:lang w:val="en-US" w:eastAsia="zh-CN" w:bidi="ar"/>
        </w:rPr>
      </w:pPr>
      <w:r>
        <w:rPr>
          <w:rFonts w:hint="eastAsia" w:ascii="宋体" w:hAnsi="宋体" w:cs="宋体"/>
          <w:color w:val="FF0000"/>
          <w:szCs w:val="21"/>
          <w:lang w:val="en-US" w:eastAsia="zh-CN"/>
        </w:rPr>
        <w:drawing>
          <wp:anchor distT="0" distB="0" distL="114300" distR="114300" simplePos="0" relativeHeight="251660288" behindDoc="1" locked="0" layoutInCell="1" allowOverlap="1">
            <wp:simplePos x="0" y="0"/>
            <wp:positionH relativeFrom="column">
              <wp:posOffset>3192780</wp:posOffset>
            </wp:positionH>
            <wp:positionV relativeFrom="paragraph">
              <wp:posOffset>-77470</wp:posOffset>
            </wp:positionV>
            <wp:extent cx="2785745" cy="1461135"/>
            <wp:effectExtent l="0" t="0" r="14605" b="5715"/>
            <wp:wrapTight wrapText="bothSides">
              <wp:wrapPolygon>
                <wp:start x="0" y="0"/>
                <wp:lineTo x="0" y="21403"/>
                <wp:lineTo x="21418" y="21403"/>
                <wp:lineTo x="21418" y="0"/>
                <wp:lineTo x="0" y="0"/>
              </wp:wrapPolygon>
            </wp:wrapTight>
            <wp:docPr id="1" name="图片 1" descr="175438011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4380114359"/>
                    <pic:cNvPicPr>
                      <a:picLocks noChangeAspect="1"/>
                    </pic:cNvPicPr>
                  </pic:nvPicPr>
                  <pic:blipFill>
                    <a:blip r:embed="rId8"/>
                    <a:stretch>
                      <a:fillRect/>
                    </a:stretch>
                  </pic:blipFill>
                  <pic:spPr>
                    <a:xfrm>
                      <a:off x="0" y="0"/>
                      <a:ext cx="2785745" cy="1461135"/>
                    </a:xfrm>
                    <a:prstGeom prst="rect">
                      <a:avLst/>
                    </a:prstGeom>
                  </pic:spPr>
                </pic:pic>
              </a:graphicData>
            </a:graphic>
          </wp:anchor>
        </w:drawing>
      </w:r>
      <w:r>
        <w:rPr>
          <w:rFonts w:hint="default" w:ascii="宋体" w:hAnsi="宋体" w:cs="宋体"/>
          <w:color w:val="FF0000"/>
          <w:szCs w:val="21"/>
          <w:lang w:val="en-US" w:eastAsia="zh-CN"/>
        </w:rPr>
        <w:drawing>
          <wp:anchor distT="0" distB="0" distL="114300" distR="114300" simplePos="0" relativeHeight="251659264" behindDoc="1" locked="0" layoutInCell="1" allowOverlap="1">
            <wp:simplePos x="0" y="0"/>
            <wp:positionH relativeFrom="column">
              <wp:posOffset>-57150</wp:posOffset>
            </wp:positionH>
            <wp:positionV relativeFrom="paragraph">
              <wp:posOffset>100965</wp:posOffset>
            </wp:positionV>
            <wp:extent cx="2924810" cy="1374140"/>
            <wp:effectExtent l="0" t="0" r="8890" b="16510"/>
            <wp:wrapTight wrapText="bothSides">
              <wp:wrapPolygon>
                <wp:start x="0" y="0"/>
                <wp:lineTo x="0" y="21261"/>
                <wp:lineTo x="21525" y="21261"/>
                <wp:lineTo x="21525" y="0"/>
                <wp:lineTo x="0" y="0"/>
              </wp:wrapPolygon>
            </wp:wrapTight>
            <wp:docPr id="2" name="图片 2" descr="175438019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4380192232"/>
                    <pic:cNvPicPr>
                      <a:picLocks noChangeAspect="1"/>
                    </pic:cNvPicPr>
                  </pic:nvPicPr>
                  <pic:blipFill>
                    <a:blip r:embed="rId9"/>
                    <a:stretch>
                      <a:fillRect/>
                    </a:stretch>
                  </pic:blipFill>
                  <pic:spPr>
                    <a:xfrm>
                      <a:off x="0" y="0"/>
                      <a:ext cx="2924810" cy="1374140"/>
                    </a:xfrm>
                    <a:prstGeom prst="rect">
                      <a:avLst/>
                    </a:prstGeom>
                  </pic:spPr>
                </pic:pic>
              </a:graphicData>
            </a:graphic>
          </wp:anchor>
        </w:drawing>
      </w:r>
      <w:r>
        <w:rPr>
          <w:rFonts w:hint="eastAsia" w:ascii="宋体" w:hAnsi="宋体" w:cs="宋体"/>
          <w:i w:val="0"/>
          <w:iCs w:val="0"/>
          <w:color w:val="000000"/>
          <w:kern w:val="0"/>
          <w:sz w:val="21"/>
          <w:szCs w:val="21"/>
          <w:u w:val="none"/>
          <w:lang w:val="en-US" w:eastAsia="zh-CN" w:bidi="ar"/>
        </w:rPr>
        <w:t xml:space="preserve">               </w:t>
      </w:r>
    </w:p>
    <w:p w14:paraId="247EE362">
      <w:pPr>
        <w:numPr>
          <w:ilvl w:val="0"/>
          <w:numId w:val="0"/>
        </w:numPr>
        <w:autoSpaceDE w:val="0"/>
        <w:autoSpaceDN w:val="0"/>
        <w:adjustRightInd w:val="0"/>
        <w:snapToGrid w:val="0"/>
        <w:spacing w:line="240" w:lineRule="auto"/>
        <w:ind w:left="0" w:leftChars="0" w:firstLine="0" w:firstLineChars="0"/>
        <w:jc w:val="both"/>
        <w:rPr>
          <w:rFonts w:hint="eastAsia" w:ascii="宋体" w:hAnsi="宋体"/>
          <w:color w:val="FF0000"/>
          <w:szCs w:val="21"/>
          <w:lang w:val="en-US" w:eastAsia="zh-CN"/>
        </w:rPr>
      </w:pPr>
      <w:r>
        <w:rPr>
          <w:rFonts w:hint="eastAsia" w:ascii="宋体" w:hAnsi="宋体" w:cs="宋体"/>
          <w:color w:val="FF0000"/>
          <w:szCs w:val="21"/>
          <w:lang w:val="en-US" w:eastAsia="zh-CN"/>
        </w:rPr>
        <w:t xml:space="preserve">           </w:t>
      </w:r>
      <w:r>
        <w:rPr>
          <w:rFonts w:hint="eastAsia" w:ascii="宋体" w:hAnsi="宋体" w:cs="宋体"/>
          <w:color w:val="auto"/>
          <w:szCs w:val="21"/>
          <w:lang w:val="en-US" w:eastAsia="zh-CN"/>
        </w:rPr>
        <w:t xml:space="preserve">     图1</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图2 </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BF5298">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5953615E">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77150B3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2CC5AE12">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55A40178">
      <w:pPr>
        <w:pStyle w:val="19"/>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5、投标单位须提供1份近3年石材材料供货业绩（合同金额70万元及以上），提供合同和发票复印件加盖公章，评标委员会会根据投标方提供的发票号码，在国家税务总局全国增值税发票查询平台进行核实，如发现一次虚假将作为废标处理”。</w:t>
      </w:r>
    </w:p>
    <w:p w14:paraId="40CD30AA">
      <w:pPr>
        <w:autoSpaceDE w:val="0"/>
        <w:autoSpaceDN w:val="0"/>
        <w:adjustRightInd w:val="0"/>
        <w:snapToGrid w:val="0"/>
        <w:spacing w:beforeAutospacing="0"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6、投标单位须提供质量承诺书。</w:t>
      </w:r>
    </w:p>
    <w:p w14:paraId="64C2FC4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7</w:t>
      </w:r>
      <w:r>
        <w:rPr>
          <w:rFonts w:hint="eastAsia" w:ascii="宋体" w:hAnsi="宋体"/>
          <w:szCs w:val="21"/>
        </w:rPr>
        <w:t>、包装要求：</w:t>
      </w:r>
    </w:p>
    <w:p w14:paraId="7FECAD8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w:t>
      </w:r>
      <w:r>
        <w:rPr>
          <w:rFonts w:hint="eastAsia" w:ascii="宋体" w:hAnsi="宋体"/>
          <w:color w:val="FF0000"/>
          <w:szCs w:val="21"/>
          <w:lang w:eastAsia="zh-CN"/>
        </w:rPr>
        <w:t>、</w:t>
      </w:r>
      <w:r>
        <w:rPr>
          <w:rFonts w:hint="eastAsia" w:ascii="宋体" w:hAnsi="宋体"/>
          <w:color w:val="FF0000"/>
          <w:szCs w:val="21"/>
          <w:lang w:val="en-US" w:eastAsia="zh-CN"/>
        </w:rPr>
        <w:t>卸货费用</w:t>
      </w:r>
      <w:r>
        <w:rPr>
          <w:rFonts w:hint="eastAsia" w:ascii="宋体" w:hAnsi="宋体"/>
          <w:color w:val="FF0000"/>
          <w:szCs w:val="21"/>
        </w:rPr>
        <w:t>）、供货时间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货到工地经验收检测合格后分批次付至货款的50%（不超过合同价的50%），工程竣工验收合格后付至实际供货款70%（不超过合同价的70%），工程审计结束后付至实际供货款的97%，二年质保期满后，付清尾款（无息）。</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311FD649">
      <w:pPr>
        <w:pStyle w:val="20"/>
        <w:rPr>
          <w:rFonts w:hint="eastAsia"/>
        </w:rPr>
      </w:pPr>
    </w:p>
    <w:p w14:paraId="5AF168D6">
      <w:pPr>
        <w:pStyle w:val="20"/>
        <w:rPr>
          <w:rFonts w:hint="eastAsia"/>
        </w:rPr>
      </w:pPr>
    </w:p>
    <w:p w14:paraId="2A0E5AF6">
      <w:pPr>
        <w:pStyle w:val="20"/>
        <w:rPr>
          <w:rFonts w:hint="eastAsia"/>
        </w:rPr>
      </w:pPr>
    </w:p>
    <w:p w14:paraId="6409A77E">
      <w:pPr>
        <w:pStyle w:val="20"/>
        <w:rPr>
          <w:rFonts w:hint="eastAsia"/>
        </w:rPr>
      </w:pPr>
    </w:p>
    <w:p w14:paraId="547A8808">
      <w:pPr>
        <w:pStyle w:val="20"/>
        <w:rPr>
          <w:rFonts w:hint="eastAsia"/>
        </w:rPr>
      </w:pPr>
    </w:p>
    <w:p w14:paraId="5A366059">
      <w:pPr>
        <w:pStyle w:val="20"/>
        <w:rPr>
          <w:rFonts w:hint="eastAsia"/>
        </w:rPr>
      </w:pPr>
    </w:p>
    <w:p w14:paraId="698BE71B">
      <w:pPr>
        <w:pStyle w:val="20"/>
        <w:rPr>
          <w:rFonts w:hint="eastAsia"/>
        </w:rPr>
      </w:pPr>
    </w:p>
    <w:p w14:paraId="450ED4A6">
      <w:pPr>
        <w:pStyle w:val="20"/>
        <w:rPr>
          <w:rFonts w:hint="eastAsia"/>
        </w:rPr>
      </w:pPr>
    </w:p>
    <w:p w14:paraId="38563ED1">
      <w:pPr>
        <w:pStyle w:val="20"/>
        <w:rPr>
          <w:rFonts w:hint="eastAsia"/>
        </w:rPr>
      </w:pPr>
    </w:p>
    <w:p w14:paraId="205A56FD">
      <w:pPr>
        <w:pStyle w:val="20"/>
        <w:rPr>
          <w:rFonts w:hint="eastAsia"/>
        </w:rPr>
      </w:pPr>
    </w:p>
    <w:p w14:paraId="1910EE6F">
      <w:pPr>
        <w:pStyle w:val="20"/>
        <w:rPr>
          <w:rFonts w:hint="eastAsia"/>
        </w:rPr>
      </w:pPr>
    </w:p>
    <w:p w14:paraId="07915AB6">
      <w:pPr>
        <w:pStyle w:val="20"/>
        <w:rPr>
          <w:rFonts w:hint="eastAsia"/>
        </w:rPr>
      </w:pPr>
    </w:p>
    <w:p w14:paraId="6654C0F5">
      <w:pPr>
        <w:pStyle w:val="20"/>
        <w:rPr>
          <w:rFonts w:hint="eastAsia"/>
        </w:rPr>
      </w:pPr>
    </w:p>
    <w:p w14:paraId="51F20253">
      <w:pPr>
        <w:pStyle w:val="20"/>
        <w:rPr>
          <w:rFonts w:hint="eastAsia"/>
        </w:rPr>
      </w:pPr>
    </w:p>
    <w:p w14:paraId="67FA4E3F">
      <w:pPr>
        <w:pStyle w:val="20"/>
        <w:rPr>
          <w:rFonts w:hint="eastAsia"/>
        </w:rPr>
      </w:pPr>
    </w:p>
    <w:p w14:paraId="7F5ED7FC">
      <w:pPr>
        <w:pStyle w:val="20"/>
        <w:rPr>
          <w:rFonts w:hint="eastAsia"/>
        </w:rPr>
      </w:pPr>
    </w:p>
    <w:p w14:paraId="76FCC84F">
      <w:pPr>
        <w:pStyle w:val="20"/>
        <w:rPr>
          <w:rFonts w:hint="eastAsia"/>
        </w:rPr>
      </w:pPr>
    </w:p>
    <w:p w14:paraId="7DB5D22D">
      <w:pPr>
        <w:pStyle w:val="20"/>
        <w:rPr>
          <w:rFonts w:hint="eastAsia"/>
        </w:rPr>
      </w:pPr>
    </w:p>
    <w:p w14:paraId="2FED60E8">
      <w:pPr>
        <w:pStyle w:val="20"/>
        <w:rPr>
          <w:rFonts w:hint="eastAsia"/>
        </w:rPr>
      </w:pPr>
    </w:p>
    <w:p w14:paraId="117F5888">
      <w:pPr>
        <w:pStyle w:val="20"/>
        <w:rPr>
          <w:rFonts w:hint="eastAsia"/>
        </w:rPr>
      </w:pPr>
    </w:p>
    <w:p w14:paraId="7A4A6498">
      <w:pPr>
        <w:pStyle w:val="20"/>
        <w:rPr>
          <w:rFonts w:hint="eastAsia"/>
        </w:rPr>
      </w:pPr>
    </w:p>
    <w:p w14:paraId="4101596B">
      <w:pPr>
        <w:pStyle w:val="20"/>
        <w:rPr>
          <w:rFonts w:hint="eastAsia"/>
        </w:rPr>
      </w:pPr>
    </w:p>
    <w:p w14:paraId="6DE02A39">
      <w:pPr>
        <w:pStyle w:val="20"/>
        <w:rPr>
          <w:rFonts w:hint="eastAsia"/>
        </w:rPr>
      </w:pPr>
    </w:p>
    <w:p w14:paraId="6794F007">
      <w:pPr>
        <w:pStyle w:val="20"/>
        <w:rPr>
          <w:rFonts w:hint="eastAsia"/>
        </w:rPr>
      </w:pPr>
    </w:p>
    <w:p w14:paraId="316DD38E">
      <w:pPr>
        <w:pStyle w:val="20"/>
        <w:rPr>
          <w:rFonts w:hint="eastAsia"/>
        </w:rPr>
      </w:pPr>
    </w:p>
    <w:p w14:paraId="15341097">
      <w:pPr>
        <w:pStyle w:val="20"/>
        <w:rPr>
          <w:rFonts w:hint="eastAsia"/>
        </w:rPr>
      </w:pPr>
    </w:p>
    <w:p w14:paraId="1DDE009A">
      <w:pPr>
        <w:pStyle w:val="20"/>
        <w:rPr>
          <w:rFonts w:hint="eastAsia"/>
        </w:rPr>
      </w:pPr>
    </w:p>
    <w:p w14:paraId="1578483F">
      <w:pPr>
        <w:pStyle w:val="20"/>
        <w:rPr>
          <w:rFonts w:hint="eastAsia"/>
        </w:rPr>
      </w:pPr>
    </w:p>
    <w:p w14:paraId="54AAC6BE">
      <w:pPr>
        <w:pStyle w:val="20"/>
        <w:rPr>
          <w:rFonts w:hint="eastAsia"/>
        </w:rPr>
      </w:pPr>
    </w:p>
    <w:p w14:paraId="74522824">
      <w:pPr>
        <w:pStyle w:val="20"/>
        <w:rPr>
          <w:rFonts w:hint="eastAsia"/>
        </w:rPr>
      </w:pPr>
    </w:p>
    <w:p w14:paraId="4B1F9BD5">
      <w:pPr>
        <w:pStyle w:val="20"/>
        <w:rPr>
          <w:rFonts w:hint="eastAsia"/>
        </w:rPr>
      </w:pPr>
    </w:p>
    <w:p w14:paraId="28664B00">
      <w:pPr>
        <w:pStyle w:val="20"/>
        <w:rPr>
          <w:rFonts w:hint="eastAsia"/>
        </w:rPr>
      </w:pPr>
    </w:p>
    <w:p w14:paraId="273AA436">
      <w:pPr>
        <w:pStyle w:val="20"/>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19"/>
        <w:rPr>
          <w:rFonts w:hint="eastAsia"/>
          <w:lang w:eastAsia="zh-CN"/>
        </w:rPr>
      </w:pPr>
    </w:p>
    <w:p w14:paraId="22FFDF3C">
      <w:pPr>
        <w:pStyle w:val="20"/>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19"/>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19"/>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19"/>
        <w:rPr>
          <w:rFonts w:hint="eastAsia"/>
        </w:rPr>
      </w:pPr>
    </w:p>
    <w:p w14:paraId="4C59DDD4">
      <w:pPr>
        <w:pStyle w:val="2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货到工地经验收检测合格后分批次付至货款的50%（不超过合同价的50%），工程竣工验收合格后付至实际供货款70%（不超过合同价的70%），工程审计结束后付至实际供货款的97%，二年质保期满后，付清尾款（无息）。</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14A94C64">
      <w:pPr>
        <w:pStyle w:val="29"/>
        <w:numPr>
          <w:ilvl w:val="0"/>
          <w:numId w:val="0"/>
        </w:numPr>
        <w:spacing w:line="640" w:lineRule="exact"/>
        <w:ind w:firstLine="480" w:firstLineChars="200"/>
        <w:rPr>
          <w:rFonts w:hint="default"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4、乙方提供石材样品经过建设单位认可的第三方检测单位检测，并出具相关报告。若乙方样品进行验收检测后判定为不合格，甲方有权要求乙方在 3个工作日内重新提供样品或对原样品进行整改。复检费用（包括但不限于检测费、人工费、材料损耗费等）由乙方承担。若复检仍不合格，甲方有权终止本合同，并要求乙方承担由此产生的全部损失（包括直接损失及间接损失）。</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3611B52B">
      <w:pPr>
        <w:pStyle w:val="4"/>
        <w:rPr>
          <w:color w:val="000000" w:themeColor="text1"/>
          <w14:textFill>
            <w14:solidFill>
              <w14:schemeClr w14:val="tx1"/>
            </w14:solidFill>
          </w14:textFill>
        </w:rPr>
      </w:pPr>
    </w:p>
    <w:p w14:paraId="1ADFE595">
      <w:pPr>
        <w:spacing w:line="360" w:lineRule="auto"/>
        <w:jc w:val="both"/>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4C5EA02C">
      <w:pPr>
        <w:pStyle w:val="4"/>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1C1B89-D99C-4B2A-958E-21DB4F7C7AFB}"/>
  </w:font>
  <w:font w:name="黑体">
    <w:panose1 w:val="02010609060101010101"/>
    <w:charset w:val="86"/>
    <w:family w:val="auto"/>
    <w:pitch w:val="default"/>
    <w:sig w:usb0="800002BF" w:usb1="38CF7CFA" w:usb2="00000016" w:usb3="00000000" w:csb0="00040001" w:csb1="00000000"/>
    <w:embedRegular r:id="rId2" w:fontKey="{9F4647D1-5578-485A-B111-FD3789A176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FF2464A-52BB-4C22-9646-F6C46E4DCD01}"/>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0C460D2F-692D-4FFD-980F-51618C7CADC8}"/>
  </w:font>
  <w:font w:name="楷体_GB2312">
    <w:panose1 w:val="02010609030101010101"/>
    <w:charset w:val="86"/>
    <w:family w:val="modern"/>
    <w:pitch w:val="default"/>
    <w:sig w:usb0="00000001" w:usb1="080E0000" w:usb2="00000000" w:usb3="00000000" w:csb0="00040000" w:csb1="00000000"/>
    <w:embedRegular r:id="rId5" w:fontKey="{8BF80505-99CB-46D5-84A9-0F7E7C6F7969}"/>
  </w:font>
  <w:font w:name="方正小标宋_GBK">
    <w:panose1 w:val="03000509000000000000"/>
    <w:charset w:val="86"/>
    <w:family w:val="auto"/>
    <w:pitch w:val="default"/>
    <w:sig w:usb0="00000001" w:usb1="080E0000" w:usb2="00000000" w:usb3="00000000" w:csb0="00040000" w:csb1="00000000"/>
    <w:embedRegular r:id="rId6" w:fontKey="{4947D3DB-D659-47E8-98AF-DF1CE2C34159}"/>
  </w:font>
  <w:font w:name="方正仿宋_GBK">
    <w:panose1 w:val="03000509000000000000"/>
    <w:charset w:val="86"/>
    <w:family w:val="auto"/>
    <w:pitch w:val="default"/>
    <w:sig w:usb0="00000001" w:usb1="080E0000" w:usb2="00000000" w:usb3="00000000" w:csb0="00040000" w:csb1="00000000"/>
    <w:embedRegular r:id="rId7" w:fontKey="{E0CF6A8B-10CD-42E0-A0EC-48059619534F}"/>
  </w:font>
  <w:font w:name="仿宋">
    <w:panose1 w:val="02010609060101010101"/>
    <w:charset w:val="86"/>
    <w:family w:val="auto"/>
    <w:pitch w:val="default"/>
    <w:sig w:usb0="800002BF" w:usb1="38CF7CFA" w:usb2="00000016" w:usb3="00000000" w:csb0="00040001" w:csb1="00000000"/>
    <w:embedRegular r:id="rId8" w:fontKey="{6936C503-70C4-4924-9F99-F562C1D60F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A7705C"/>
    <w:rsid w:val="03C76963"/>
    <w:rsid w:val="04506958"/>
    <w:rsid w:val="04ED064B"/>
    <w:rsid w:val="04F33787"/>
    <w:rsid w:val="05235BBF"/>
    <w:rsid w:val="05616943"/>
    <w:rsid w:val="057A6F83"/>
    <w:rsid w:val="06574153"/>
    <w:rsid w:val="07B132EE"/>
    <w:rsid w:val="08971538"/>
    <w:rsid w:val="09A23D87"/>
    <w:rsid w:val="0A045C92"/>
    <w:rsid w:val="0C006D9B"/>
    <w:rsid w:val="0C391C75"/>
    <w:rsid w:val="0C460641"/>
    <w:rsid w:val="0D046532"/>
    <w:rsid w:val="0D9773A6"/>
    <w:rsid w:val="0E5A3EAC"/>
    <w:rsid w:val="105E328D"/>
    <w:rsid w:val="106B52EF"/>
    <w:rsid w:val="10E46038"/>
    <w:rsid w:val="115F642C"/>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1F0E4F"/>
    <w:rsid w:val="1A933FAF"/>
    <w:rsid w:val="1B0D6EF9"/>
    <w:rsid w:val="1B32070E"/>
    <w:rsid w:val="1B441F92"/>
    <w:rsid w:val="1B863EE4"/>
    <w:rsid w:val="1BC96078"/>
    <w:rsid w:val="1D524DB7"/>
    <w:rsid w:val="1E4B2C37"/>
    <w:rsid w:val="1E6225BB"/>
    <w:rsid w:val="1EA31154"/>
    <w:rsid w:val="1EC21A64"/>
    <w:rsid w:val="1EC92A20"/>
    <w:rsid w:val="1F0E4671"/>
    <w:rsid w:val="206C021E"/>
    <w:rsid w:val="20A951E7"/>
    <w:rsid w:val="20CA13E8"/>
    <w:rsid w:val="223A588B"/>
    <w:rsid w:val="226D193C"/>
    <w:rsid w:val="227D128F"/>
    <w:rsid w:val="22E23D79"/>
    <w:rsid w:val="23A016EC"/>
    <w:rsid w:val="23BA1CE9"/>
    <w:rsid w:val="23D26B89"/>
    <w:rsid w:val="260C121F"/>
    <w:rsid w:val="26BA2DC8"/>
    <w:rsid w:val="26E30BFE"/>
    <w:rsid w:val="286931F8"/>
    <w:rsid w:val="28994243"/>
    <w:rsid w:val="28D14083"/>
    <w:rsid w:val="28E66D39"/>
    <w:rsid w:val="2B4431B2"/>
    <w:rsid w:val="2CA37518"/>
    <w:rsid w:val="2FFE5B53"/>
    <w:rsid w:val="316D029A"/>
    <w:rsid w:val="31A368A5"/>
    <w:rsid w:val="31E452E9"/>
    <w:rsid w:val="31F0483A"/>
    <w:rsid w:val="3220530C"/>
    <w:rsid w:val="32CA33D5"/>
    <w:rsid w:val="32E43D91"/>
    <w:rsid w:val="33976056"/>
    <w:rsid w:val="34804ED0"/>
    <w:rsid w:val="34EC7159"/>
    <w:rsid w:val="377C1237"/>
    <w:rsid w:val="37AF7C77"/>
    <w:rsid w:val="3B223EA3"/>
    <w:rsid w:val="3B257EFE"/>
    <w:rsid w:val="3C646ABC"/>
    <w:rsid w:val="3C691FB0"/>
    <w:rsid w:val="3CA8662A"/>
    <w:rsid w:val="3D1E68EC"/>
    <w:rsid w:val="3F8E7211"/>
    <w:rsid w:val="3FF839D9"/>
    <w:rsid w:val="40321424"/>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344B2F"/>
    <w:rsid w:val="4FE34DE9"/>
    <w:rsid w:val="506F063F"/>
    <w:rsid w:val="50B6349B"/>
    <w:rsid w:val="50D92A99"/>
    <w:rsid w:val="511B5891"/>
    <w:rsid w:val="513F3A5E"/>
    <w:rsid w:val="516A7EFA"/>
    <w:rsid w:val="523634E2"/>
    <w:rsid w:val="53361833"/>
    <w:rsid w:val="53A92F5C"/>
    <w:rsid w:val="563034C0"/>
    <w:rsid w:val="56A8222D"/>
    <w:rsid w:val="56D62531"/>
    <w:rsid w:val="571E1031"/>
    <w:rsid w:val="5731653C"/>
    <w:rsid w:val="57AD28EF"/>
    <w:rsid w:val="58A65CBC"/>
    <w:rsid w:val="58D6764A"/>
    <w:rsid w:val="59627495"/>
    <w:rsid w:val="59B57910"/>
    <w:rsid w:val="59D52356"/>
    <w:rsid w:val="5D582E82"/>
    <w:rsid w:val="5E445D2E"/>
    <w:rsid w:val="5EBD524E"/>
    <w:rsid w:val="5F795ED8"/>
    <w:rsid w:val="62397BA1"/>
    <w:rsid w:val="6279082B"/>
    <w:rsid w:val="62C31218"/>
    <w:rsid w:val="6370314E"/>
    <w:rsid w:val="64747F00"/>
    <w:rsid w:val="64FD6B36"/>
    <w:rsid w:val="65EB0E69"/>
    <w:rsid w:val="66746855"/>
    <w:rsid w:val="667F60B7"/>
    <w:rsid w:val="66A870A3"/>
    <w:rsid w:val="66F35A29"/>
    <w:rsid w:val="678F10BD"/>
    <w:rsid w:val="68537464"/>
    <w:rsid w:val="68C57F09"/>
    <w:rsid w:val="6BBB4685"/>
    <w:rsid w:val="6CF272CA"/>
    <w:rsid w:val="6D0131CD"/>
    <w:rsid w:val="6D016897"/>
    <w:rsid w:val="6D116F45"/>
    <w:rsid w:val="6EC33740"/>
    <w:rsid w:val="6EE658EC"/>
    <w:rsid w:val="6F6E06C9"/>
    <w:rsid w:val="6FA2234A"/>
    <w:rsid w:val="6FC00FB9"/>
    <w:rsid w:val="6FD30157"/>
    <w:rsid w:val="711D243B"/>
    <w:rsid w:val="715916C6"/>
    <w:rsid w:val="726C5429"/>
    <w:rsid w:val="749018A2"/>
    <w:rsid w:val="74E70861"/>
    <w:rsid w:val="75F0011F"/>
    <w:rsid w:val="7686731E"/>
    <w:rsid w:val="778C2829"/>
    <w:rsid w:val="77D7083D"/>
    <w:rsid w:val="77E9764D"/>
    <w:rsid w:val="78135BBF"/>
    <w:rsid w:val="78387804"/>
    <w:rsid w:val="7A546ECE"/>
    <w:rsid w:val="7AA15E8B"/>
    <w:rsid w:val="7AB53611"/>
    <w:rsid w:val="7B646DB9"/>
    <w:rsid w:val="7B8F57A7"/>
    <w:rsid w:val="7C727ADF"/>
    <w:rsid w:val="7CCA4BCF"/>
    <w:rsid w:val="7D2A660C"/>
    <w:rsid w:val="7D8E26F7"/>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qFormat/>
    <w:uiPriority w:val="0"/>
    <w:rPr>
      <w:kern w:val="2"/>
      <w:sz w:val="18"/>
      <w:szCs w:val="18"/>
    </w:rPr>
  </w:style>
  <w:style w:type="character" w:customStyle="1" w:styleId="22">
    <w:name w:val="页脚 Char"/>
    <w:link w:val="10"/>
    <w:qFormat/>
    <w:uiPriority w:val="0"/>
    <w:rPr>
      <w:kern w:val="2"/>
      <w:sz w:val="18"/>
      <w:szCs w:val="18"/>
    </w:rPr>
  </w:style>
  <w:style w:type="character" w:customStyle="1" w:styleId="23">
    <w:name w:val="正文文本缩进 Char"/>
    <w:link w:val="5"/>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 w:type="character" w:customStyle="1" w:styleId="30">
    <w:name w:val="font11"/>
    <w:basedOn w:val="18"/>
    <w:qFormat/>
    <w:uiPriority w:val="0"/>
    <w:rPr>
      <w:rFonts w:hint="eastAsia" w:ascii="宋体" w:hAnsi="宋体" w:eastAsia="宋体" w:cs="宋体"/>
      <w:color w:val="000000"/>
      <w:sz w:val="21"/>
      <w:szCs w:val="21"/>
      <w:u w:val="none"/>
    </w:rPr>
  </w:style>
  <w:style w:type="character" w:customStyle="1" w:styleId="31">
    <w:name w:val="font21"/>
    <w:basedOn w:val="1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23</Pages>
  <Words>3513</Words>
  <Characters>3796</Characters>
  <Lines>30</Lines>
  <Paragraphs>8</Paragraphs>
  <TotalTime>1364</TotalTime>
  <ScaleCrop>false</ScaleCrop>
  <LinksUpToDate>false</LinksUpToDate>
  <CharactersWithSpaces>4267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顾涛</cp:lastModifiedBy>
  <cp:lastPrinted>2025-08-22T07:54:16Z</cp:lastPrinted>
  <dcterms:modified xsi:type="dcterms:W3CDTF">2025-08-22T07:56:47Z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BC45F49CE6374AD093D543CCF61E5777_13</vt:lpwstr>
  </property>
  <property fmtid="{D5CDD505-2E9C-101B-9397-08002B2CF9AE}" pid="4" name="KSOTemplateDocerSaveRecord">
    <vt:lpwstr>eyJoZGlkIjoiYjEzZTUzZjQ1Zjg1YTM4NTExY2YzM2E3ZWM2M2JhNTYiLCJ1c2VySWQiOiIxNjQ1Mzc3MjM2In0=</vt:lpwstr>
  </property>
</Properties>
</file>