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63E1E">
      <w:pPr>
        <w:adjustRightInd w:val="0"/>
        <w:snapToGrid w:val="0"/>
        <w:spacing w:line="360" w:lineRule="auto"/>
        <w:jc w:val="center"/>
        <w:rPr>
          <w:rFonts w:ascii="仿宋_GB2312" w:hAnsi="宋体" w:eastAsia="仿宋_GB2312"/>
          <w:b/>
          <w:color w:val="auto"/>
          <w:spacing w:val="28"/>
          <w:sz w:val="52"/>
          <w:szCs w:val="48"/>
        </w:rPr>
      </w:pPr>
    </w:p>
    <w:p w14:paraId="61243EF9">
      <w:pPr>
        <w:pStyle w:val="8"/>
        <w:ind w:left="0" w:leftChars="0"/>
        <w:jc w:val="center"/>
        <w:rPr>
          <w:rFonts w:hint="eastAsia" w:ascii="仿宋_GB2312" w:hAnsi="宋体" w:eastAsia="仿宋_GB2312"/>
          <w:b/>
          <w:color w:val="auto"/>
          <w:spacing w:val="28"/>
          <w:sz w:val="52"/>
          <w:szCs w:val="48"/>
        </w:rPr>
      </w:pPr>
      <w:r>
        <w:rPr>
          <w:rFonts w:hint="eastAsia" w:ascii="仿宋_GB2312" w:hAnsi="宋体" w:eastAsia="仿宋_GB2312"/>
          <w:b/>
          <w:color w:val="auto"/>
          <w:spacing w:val="28"/>
          <w:sz w:val="52"/>
          <w:szCs w:val="48"/>
        </w:rPr>
        <w:t>扬州市上善建设工程有限公司</w:t>
      </w:r>
    </w:p>
    <w:p w14:paraId="63DFADEE">
      <w:pPr>
        <w:pStyle w:val="8"/>
        <w:ind w:left="0" w:leftChars="0"/>
        <w:jc w:val="center"/>
        <w:rPr>
          <w:rFonts w:hint="eastAsia" w:ascii="仿宋_GB2312" w:hAnsi="宋体" w:eastAsia="仿宋_GB2312"/>
          <w:b/>
          <w:color w:val="auto"/>
          <w:spacing w:val="28"/>
          <w:sz w:val="52"/>
          <w:szCs w:val="48"/>
          <w:lang w:val="en-US" w:eastAsia="zh-CN"/>
        </w:rPr>
      </w:pPr>
      <w:r>
        <w:rPr>
          <w:rFonts w:hint="eastAsia" w:ascii="仿宋_GB2312" w:hAnsi="宋体" w:eastAsia="仿宋_GB2312"/>
          <w:b/>
          <w:color w:val="auto"/>
          <w:spacing w:val="28"/>
          <w:sz w:val="52"/>
          <w:szCs w:val="48"/>
          <w:lang w:val="en-US" w:eastAsia="zh-CN"/>
        </w:rPr>
        <w:t>公道、方巷、杨寿污水收集处理系统改造工程（二期）EPC工程</w:t>
      </w:r>
    </w:p>
    <w:p w14:paraId="036B806F">
      <w:pPr>
        <w:pStyle w:val="8"/>
        <w:ind w:left="0" w:leftChars="0"/>
        <w:jc w:val="center"/>
        <w:rPr>
          <w:rFonts w:hint="eastAsia" w:ascii="仿宋_GB2312" w:hAnsi="宋体" w:eastAsia="仿宋_GB2312"/>
          <w:b/>
          <w:color w:val="auto"/>
          <w:spacing w:val="28"/>
          <w:sz w:val="52"/>
          <w:szCs w:val="48"/>
        </w:rPr>
      </w:pPr>
      <w:r>
        <w:rPr>
          <w:rFonts w:hint="eastAsia" w:ascii="仿宋_GB2312" w:hAnsi="宋体" w:eastAsia="仿宋_GB2312"/>
          <w:b/>
          <w:color w:val="auto"/>
          <w:spacing w:val="28"/>
          <w:sz w:val="52"/>
          <w:szCs w:val="48"/>
          <w:lang w:val="en-US" w:eastAsia="zh-CN"/>
        </w:rPr>
        <w:t>一体化泵站材料采购</w:t>
      </w:r>
    </w:p>
    <w:p w14:paraId="1C53E9F2">
      <w:pPr>
        <w:adjustRightInd w:val="0"/>
        <w:snapToGrid w:val="0"/>
        <w:spacing w:line="360" w:lineRule="auto"/>
        <w:ind w:firstLine="3468" w:firstLineChars="600"/>
        <w:rPr>
          <w:rFonts w:ascii="仿宋_GB2312" w:hAnsi="宋体" w:eastAsia="仿宋_GB2312"/>
          <w:b/>
          <w:color w:val="auto"/>
          <w:spacing w:val="28"/>
          <w:sz w:val="52"/>
          <w:szCs w:val="48"/>
        </w:rPr>
      </w:pPr>
    </w:p>
    <w:p w14:paraId="109787B4">
      <w:pPr>
        <w:adjustRightInd w:val="0"/>
        <w:snapToGrid w:val="0"/>
        <w:spacing w:line="360" w:lineRule="auto"/>
        <w:ind w:firstLine="3468" w:firstLineChars="600"/>
        <w:rPr>
          <w:rFonts w:ascii="仿宋_GB2312" w:hAnsi="宋体" w:eastAsia="仿宋_GB2312"/>
          <w:b/>
          <w:color w:val="auto"/>
          <w:spacing w:val="28"/>
          <w:sz w:val="52"/>
          <w:szCs w:val="48"/>
        </w:rPr>
      </w:pPr>
    </w:p>
    <w:p w14:paraId="5F9E1809">
      <w:pPr>
        <w:adjustRightInd w:val="0"/>
        <w:snapToGrid w:val="0"/>
        <w:spacing w:line="360" w:lineRule="auto"/>
        <w:ind w:firstLine="3468" w:firstLineChars="600"/>
        <w:rPr>
          <w:rFonts w:ascii="仿宋_GB2312" w:hAnsi="宋体" w:eastAsia="仿宋_GB2312"/>
          <w:b/>
          <w:snapToGrid w:val="0"/>
          <w:color w:val="auto"/>
          <w:sz w:val="52"/>
          <w:szCs w:val="52"/>
        </w:rPr>
      </w:pPr>
      <w:r>
        <w:rPr>
          <w:rFonts w:hint="eastAsia" w:ascii="仿宋_GB2312" w:hAnsi="宋体" w:eastAsia="仿宋_GB2312"/>
          <w:b/>
          <w:color w:val="auto"/>
          <w:spacing w:val="28"/>
          <w:sz w:val="52"/>
          <w:szCs w:val="48"/>
        </w:rPr>
        <w:t>招标文件</w:t>
      </w:r>
    </w:p>
    <w:p w14:paraId="40B38AD0">
      <w:pPr>
        <w:pStyle w:val="8"/>
        <w:ind w:left="0" w:leftChars="0"/>
        <w:rPr>
          <w:color w:val="auto"/>
        </w:rPr>
      </w:pPr>
    </w:p>
    <w:p w14:paraId="743CF7C7">
      <w:pPr>
        <w:rPr>
          <w:color w:val="auto"/>
        </w:rPr>
      </w:pPr>
    </w:p>
    <w:p w14:paraId="469E41DA">
      <w:pPr>
        <w:adjustRightInd w:val="0"/>
        <w:snapToGrid w:val="0"/>
        <w:spacing w:line="360" w:lineRule="auto"/>
        <w:ind w:firstLine="1446" w:firstLineChars="200"/>
        <w:jc w:val="center"/>
        <w:rPr>
          <w:rFonts w:ascii="仿宋_GB2312" w:hAnsi="宋体" w:eastAsia="仿宋_GB2312"/>
          <w:b/>
          <w:snapToGrid w:val="0"/>
          <w:color w:val="auto"/>
          <w:sz w:val="72"/>
        </w:rPr>
      </w:pPr>
    </w:p>
    <w:p w14:paraId="3F9D98E8">
      <w:pPr>
        <w:adjustRightInd w:val="0"/>
        <w:snapToGrid w:val="0"/>
        <w:spacing w:line="360" w:lineRule="auto"/>
        <w:rPr>
          <w:rFonts w:ascii="仿宋_GB2312" w:hAnsi="宋体" w:eastAsia="仿宋_GB2312"/>
          <w:b/>
          <w:snapToGrid w:val="0"/>
          <w:color w:val="auto"/>
          <w:sz w:val="72"/>
        </w:rPr>
      </w:pPr>
    </w:p>
    <w:p w14:paraId="773C05CC">
      <w:pPr>
        <w:adjustRightInd w:val="0"/>
        <w:snapToGrid w:val="0"/>
        <w:spacing w:line="480" w:lineRule="auto"/>
        <w:ind w:firstLine="1494" w:firstLineChars="496"/>
        <w:rPr>
          <w:rFonts w:ascii="仿宋_GB2312" w:hAnsi="宋体" w:eastAsia="仿宋_GB2312"/>
          <w:b/>
          <w:bCs/>
          <w:snapToGrid w:val="0"/>
          <w:color w:val="auto"/>
          <w:sz w:val="28"/>
        </w:rPr>
      </w:pPr>
      <w:r>
        <w:rPr>
          <w:rFonts w:hint="eastAsia" w:ascii="仿宋_GB2312" w:hAnsi="宋体" w:eastAsia="仿宋_GB2312"/>
          <w:b/>
          <w:bCs/>
          <w:snapToGrid w:val="0"/>
          <w:color w:val="auto"/>
          <w:sz w:val="30"/>
        </w:rPr>
        <w:t>招       标      人：扬州市上善建设工程有限公司</w:t>
      </w:r>
    </w:p>
    <w:p w14:paraId="29632C90">
      <w:pPr>
        <w:spacing w:line="460" w:lineRule="exact"/>
        <w:ind w:firstLine="1494" w:firstLineChars="496"/>
        <w:rPr>
          <w:rFonts w:eastAsia="黑体"/>
          <w:color w:val="auto"/>
          <w:sz w:val="36"/>
        </w:rPr>
      </w:pPr>
      <w:r>
        <w:rPr>
          <w:rFonts w:hint="eastAsia" w:ascii="仿宋_GB2312" w:hAnsi="宋体" w:eastAsia="仿宋_GB2312"/>
          <w:b/>
          <w:bCs/>
          <w:snapToGrid w:val="0"/>
          <w:color w:val="auto"/>
          <w:sz w:val="30"/>
        </w:rPr>
        <w:t xml:space="preserve">发    放    日   期：  </w:t>
      </w:r>
      <w:r>
        <w:rPr>
          <w:rFonts w:hint="eastAsia" w:ascii="仿宋_GB2312" w:hAnsi="宋体" w:eastAsia="仿宋_GB2312"/>
          <w:b/>
          <w:bCs/>
          <w:snapToGrid w:val="0"/>
          <w:color w:val="auto"/>
          <w:sz w:val="30"/>
          <w:u w:val="single"/>
        </w:rPr>
        <w:t xml:space="preserve"> </w:t>
      </w:r>
      <w:r>
        <w:rPr>
          <w:rFonts w:hint="eastAsia" w:ascii="仿宋_GB2312" w:hAnsi="宋体" w:eastAsia="仿宋_GB2312"/>
          <w:b/>
          <w:bCs/>
          <w:snapToGrid w:val="0"/>
          <w:color w:val="auto"/>
          <w:sz w:val="30"/>
          <w:u w:val="single"/>
          <w:lang w:val="en-US" w:eastAsia="zh-CN"/>
        </w:rPr>
        <w:t xml:space="preserve"> 2025  </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lang w:val="en-US" w:eastAsia="zh-CN"/>
        </w:rPr>
        <w:t xml:space="preserve"> 8</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 xml:space="preserve">  20  </w:t>
      </w:r>
      <w:r>
        <w:rPr>
          <w:rFonts w:hint="eastAsia" w:ascii="仿宋_GB2312" w:hAnsi="宋体" w:eastAsia="仿宋_GB2312"/>
          <w:b/>
          <w:bCs/>
          <w:snapToGrid w:val="0"/>
          <w:color w:val="auto"/>
          <w:sz w:val="30"/>
        </w:rPr>
        <w:t>日</w:t>
      </w:r>
    </w:p>
    <w:p w14:paraId="47B1FBBD">
      <w:pPr>
        <w:spacing w:line="360" w:lineRule="auto"/>
        <w:outlineLvl w:val="0"/>
        <w:rPr>
          <w:rFonts w:ascii="宋体" w:hAnsi="宋体"/>
          <w:b/>
          <w:color w:val="auto"/>
          <w:sz w:val="36"/>
          <w:szCs w:val="36"/>
        </w:rPr>
      </w:pPr>
    </w:p>
    <w:p w14:paraId="70F0F038">
      <w:pPr>
        <w:pStyle w:val="8"/>
        <w:ind w:left="1260"/>
        <w:rPr>
          <w:color w:val="auto"/>
        </w:rPr>
      </w:pPr>
    </w:p>
    <w:p w14:paraId="0215278B">
      <w:pPr>
        <w:rPr>
          <w:color w:val="auto"/>
        </w:rPr>
      </w:pPr>
    </w:p>
    <w:p w14:paraId="7BA6554C">
      <w:pPr>
        <w:pStyle w:val="8"/>
        <w:ind w:left="1260"/>
        <w:rPr>
          <w:color w:val="auto"/>
        </w:rPr>
      </w:pPr>
    </w:p>
    <w:p w14:paraId="3E4EA4DE">
      <w:pPr>
        <w:rPr>
          <w:color w:val="auto"/>
        </w:rPr>
      </w:pPr>
    </w:p>
    <w:p w14:paraId="0C0AAAE5">
      <w:pPr>
        <w:spacing w:line="360" w:lineRule="auto"/>
        <w:jc w:val="center"/>
        <w:outlineLvl w:val="0"/>
        <w:rPr>
          <w:rFonts w:ascii="宋体" w:hAnsi="宋体"/>
          <w:b/>
          <w:color w:val="auto"/>
          <w:sz w:val="36"/>
          <w:szCs w:val="36"/>
        </w:rPr>
      </w:pPr>
      <w:r>
        <w:rPr>
          <w:rFonts w:hint="eastAsia" w:ascii="宋体" w:hAnsi="宋体"/>
          <w:b/>
          <w:color w:val="auto"/>
          <w:sz w:val="36"/>
          <w:szCs w:val="36"/>
        </w:rPr>
        <w:t>前  附  表</w:t>
      </w:r>
    </w:p>
    <w:tbl>
      <w:tblPr>
        <w:tblStyle w:val="18"/>
        <w:tblW w:w="10219"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2183"/>
        <w:gridCol w:w="2067"/>
        <w:gridCol w:w="1144"/>
        <w:gridCol w:w="3247"/>
      </w:tblGrid>
      <w:tr w14:paraId="3A1D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8" w:type="dxa"/>
            <w:tcBorders>
              <w:top w:val="single" w:color="auto" w:sz="4" w:space="0"/>
              <w:left w:val="single" w:color="auto" w:sz="4" w:space="0"/>
              <w:bottom w:val="single" w:color="auto" w:sz="4" w:space="0"/>
              <w:right w:val="single" w:color="auto" w:sz="4" w:space="0"/>
            </w:tcBorders>
            <w:vAlign w:val="center"/>
          </w:tcPr>
          <w:p w14:paraId="30841FDC">
            <w:pPr>
              <w:spacing w:line="360" w:lineRule="auto"/>
              <w:jc w:val="center"/>
              <w:rPr>
                <w:rFonts w:ascii="宋体" w:hAnsi="宋体"/>
                <w:color w:val="auto"/>
                <w:szCs w:val="21"/>
              </w:rPr>
            </w:pPr>
            <w:r>
              <w:rPr>
                <w:rFonts w:hint="eastAsia" w:ascii="宋体" w:hAnsi="宋体"/>
                <w:color w:val="auto"/>
                <w:szCs w:val="21"/>
              </w:rPr>
              <w:t>序号</w:t>
            </w:r>
          </w:p>
        </w:tc>
        <w:tc>
          <w:tcPr>
            <w:tcW w:w="2183" w:type="dxa"/>
            <w:tcBorders>
              <w:top w:val="single" w:color="auto" w:sz="4" w:space="0"/>
              <w:left w:val="single" w:color="auto" w:sz="4" w:space="0"/>
              <w:bottom w:val="single" w:color="auto" w:sz="4" w:space="0"/>
              <w:right w:val="single" w:color="auto" w:sz="4" w:space="0"/>
            </w:tcBorders>
            <w:vAlign w:val="center"/>
          </w:tcPr>
          <w:p w14:paraId="0E013F77">
            <w:pPr>
              <w:spacing w:line="360" w:lineRule="auto"/>
              <w:jc w:val="center"/>
              <w:rPr>
                <w:rFonts w:ascii="宋体" w:hAnsi="宋体"/>
                <w:color w:val="auto"/>
                <w:szCs w:val="21"/>
              </w:rPr>
            </w:pPr>
            <w:r>
              <w:rPr>
                <w:rFonts w:hint="eastAsia" w:ascii="宋体" w:hAnsi="宋体"/>
                <w:color w:val="auto"/>
                <w:szCs w:val="21"/>
              </w:rPr>
              <w:t>项    目</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5DE7382E">
            <w:pPr>
              <w:spacing w:line="360" w:lineRule="auto"/>
              <w:ind w:firstLine="2415" w:firstLineChars="1150"/>
              <w:rPr>
                <w:rFonts w:ascii="宋体" w:hAnsi="宋体"/>
                <w:color w:val="auto"/>
                <w:szCs w:val="21"/>
              </w:rPr>
            </w:pPr>
            <w:r>
              <w:rPr>
                <w:rFonts w:hint="eastAsia" w:ascii="宋体" w:hAnsi="宋体"/>
                <w:color w:val="auto"/>
                <w:szCs w:val="21"/>
              </w:rPr>
              <w:t>内    容</w:t>
            </w:r>
          </w:p>
        </w:tc>
      </w:tr>
      <w:tr w14:paraId="49A7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578" w:type="dxa"/>
            <w:tcBorders>
              <w:top w:val="single" w:color="auto" w:sz="4" w:space="0"/>
              <w:left w:val="single" w:color="auto" w:sz="4" w:space="0"/>
              <w:bottom w:val="single" w:color="auto" w:sz="4" w:space="0"/>
              <w:right w:val="single" w:color="auto" w:sz="4" w:space="0"/>
            </w:tcBorders>
            <w:vAlign w:val="center"/>
          </w:tcPr>
          <w:p w14:paraId="325B005E">
            <w:pPr>
              <w:spacing w:line="360" w:lineRule="auto"/>
              <w:jc w:val="center"/>
              <w:rPr>
                <w:rFonts w:ascii="宋体" w:hAnsi="宋体"/>
                <w:color w:val="auto"/>
                <w:szCs w:val="21"/>
              </w:rPr>
            </w:pPr>
            <w:r>
              <w:rPr>
                <w:rFonts w:hint="eastAsia" w:ascii="宋体" w:hAnsi="宋体"/>
                <w:color w:val="auto"/>
                <w:szCs w:val="21"/>
              </w:rPr>
              <w:t>1</w:t>
            </w:r>
          </w:p>
        </w:tc>
        <w:tc>
          <w:tcPr>
            <w:tcW w:w="2183" w:type="dxa"/>
            <w:tcBorders>
              <w:top w:val="single" w:color="auto" w:sz="4" w:space="0"/>
              <w:left w:val="single" w:color="auto" w:sz="4" w:space="0"/>
              <w:bottom w:val="single" w:color="auto" w:sz="4" w:space="0"/>
              <w:right w:val="single" w:color="auto" w:sz="4" w:space="0"/>
            </w:tcBorders>
            <w:vAlign w:val="center"/>
          </w:tcPr>
          <w:p w14:paraId="2C14F06D">
            <w:pPr>
              <w:spacing w:line="360" w:lineRule="auto"/>
              <w:jc w:val="center"/>
              <w:rPr>
                <w:rFonts w:ascii="宋体" w:hAnsi="宋体"/>
                <w:color w:val="auto"/>
                <w:szCs w:val="21"/>
              </w:rPr>
            </w:pPr>
            <w:r>
              <w:rPr>
                <w:rFonts w:hint="eastAsia" w:ascii="宋体" w:hAnsi="宋体"/>
                <w:color w:val="auto"/>
                <w:szCs w:val="21"/>
              </w:rPr>
              <w:t>项目名称</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70A4BD07">
            <w:pPr>
              <w:spacing w:line="360" w:lineRule="auto"/>
              <w:rPr>
                <w:rFonts w:ascii="宋体" w:hAnsi="宋体"/>
                <w:color w:val="auto"/>
                <w:szCs w:val="21"/>
              </w:rPr>
            </w:pPr>
            <w:r>
              <w:rPr>
                <w:rFonts w:hint="eastAsia" w:ascii="宋体" w:hAnsi="宋体"/>
                <w:color w:val="auto"/>
                <w:szCs w:val="21"/>
                <w:lang w:val="en-US" w:eastAsia="zh-CN"/>
              </w:rPr>
              <w:t>公道、方巷、杨寿污水收集处理系统改造工程（二期）EPC工程一体化泵站材料采购</w:t>
            </w:r>
          </w:p>
        </w:tc>
      </w:tr>
      <w:tr w14:paraId="6CAD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8" w:type="dxa"/>
            <w:tcBorders>
              <w:top w:val="single" w:color="auto" w:sz="4" w:space="0"/>
              <w:left w:val="single" w:color="auto" w:sz="4" w:space="0"/>
              <w:bottom w:val="single" w:color="auto" w:sz="4" w:space="0"/>
              <w:right w:val="single" w:color="auto" w:sz="4" w:space="0"/>
            </w:tcBorders>
            <w:vAlign w:val="center"/>
          </w:tcPr>
          <w:p w14:paraId="20C07B3B">
            <w:pPr>
              <w:spacing w:line="360" w:lineRule="auto"/>
              <w:jc w:val="center"/>
              <w:rPr>
                <w:rFonts w:ascii="宋体" w:hAnsi="宋体"/>
                <w:color w:val="auto"/>
                <w:szCs w:val="21"/>
              </w:rPr>
            </w:pPr>
            <w:r>
              <w:rPr>
                <w:rFonts w:hint="eastAsia" w:ascii="宋体" w:hAnsi="宋体"/>
                <w:color w:val="auto"/>
                <w:szCs w:val="21"/>
              </w:rPr>
              <w:t>2</w:t>
            </w:r>
          </w:p>
        </w:tc>
        <w:tc>
          <w:tcPr>
            <w:tcW w:w="2183" w:type="dxa"/>
            <w:tcBorders>
              <w:top w:val="single" w:color="auto" w:sz="4" w:space="0"/>
              <w:left w:val="single" w:color="auto" w:sz="4" w:space="0"/>
              <w:bottom w:val="single" w:color="auto" w:sz="4" w:space="0"/>
              <w:right w:val="single" w:color="auto" w:sz="4" w:space="0"/>
            </w:tcBorders>
            <w:vAlign w:val="center"/>
          </w:tcPr>
          <w:p w14:paraId="3A840639">
            <w:pPr>
              <w:spacing w:line="360" w:lineRule="auto"/>
              <w:jc w:val="center"/>
              <w:rPr>
                <w:rFonts w:ascii="宋体" w:hAnsi="宋体"/>
                <w:color w:val="auto"/>
                <w:szCs w:val="21"/>
              </w:rPr>
            </w:pPr>
            <w:r>
              <w:rPr>
                <w:rFonts w:hint="eastAsia" w:ascii="宋体" w:hAnsi="宋体"/>
                <w:color w:val="auto"/>
                <w:szCs w:val="21"/>
              </w:rPr>
              <w:t>招标方式</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0D5EA05A">
            <w:pPr>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公开招标</w:t>
            </w:r>
          </w:p>
        </w:tc>
      </w:tr>
      <w:tr w14:paraId="01BA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78" w:type="dxa"/>
            <w:tcBorders>
              <w:top w:val="single" w:color="auto" w:sz="4" w:space="0"/>
              <w:left w:val="single" w:color="auto" w:sz="4" w:space="0"/>
              <w:bottom w:val="single" w:color="auto" w:sz="4" w:space="0"/>
              <w:right w:val="single" w:color="auto" w:sz="4" w:space="0"/>
            </w:tcBorders>
            <w:vAlign w:val="center"/>
          </w:tcPr>
          <w:p w14:paraId="7BE133AB">
            <w:pPr>
              <w:spacing w:line="360" w:lineRule="auto"/>
              <w:jc w:val="center"/>
              <w:rPr>
                <w:rFonts w:ascii="宋体" w:hAnsi="宋体"/>
                <w:color w:val="auto"/>
                <w:szCs w:val="21"/>
              </w:rPr>
            </w:pPr>
            <w:r>
              <w:rPr>
                <w:rFonts w:hint="eastAsia" w:ascii="宋体" w:hAnsi="宋体"/>
                <w:color w:val="auto"/>
                <w:szCs w:val="21"/>
              </w:rPr>
              <w:t>3</w:t>
            </w:r>
          </w:p>
        </w:tc>
        <w:tc>
          <w:tcPr>
            <w:tcW w:w="2183" w:type="dxa"/>
            <w:tcBorders>
              <w:top w:val="single" w:color="auto" w:sz="4" w:space="0"/>
              <w:left w:val="single" w:color="auto" w:sz="4" w:space="0"/>
              <w:bottom w:val="single" w:color="auto" w:sz="4" w:space="0"/>
              <w:right w:val="single" w:color="auto" w:sz="4" w:space="0"/>
            </w:tcBorders>
            <w:vAlign w:val="center"/>
          </w:tcPr>
          <w:p w14:paraId="140507E3">
            <w:pPr>
              <w:spacing w:line="360" w:lineRule="auto"/>
              <w:jc w:val="center"/>
              <w:rPr>
                <w:rFonts w:ascii="宋体" w:hAnsi="宋体"/>
                <w:color w:val="auto"/>
                <w:szCs w:val="21"/>
              </w:rPr>
            </w:pPr>
            <w:r>
              <w:rPr>
                <w:rFonts w:hint="eastAsia" w:ascii="宋体" w:hAnsi="宋体"/>
                <w:color w:val="auto"/>
                <w:szCs w:val="21"/>
              </w:rPr>
              <w:t>招标内容</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12C9381C">
            <w:pPr>
              <w:spacing w:line="360" w:lineRule="auto"/>
              <w:rPr>
                <w:color w:val="auto"/>
              </w:rPr>
            </w:pPr>
            <w:r>
              <w:rPr>
                <w:rFonts w:hint="eastAsia"/>
                <w:color w:val="auto"/>
                <w:lang w:val="en-US" w:eastAsia="zh-CN"/>
              </w:rPr>
              <w:t>一体化泵站</w:t>
            </w:r>
          </w:p>
        </w:tc>
      </w:tr>
      <w:tr w14:paraId="5EEC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8" w:type="dxa"/>
            <w:tcBorders>
              <w:top w:val="single" w:color="auto" w:sz="4" w:space="0"/>
              <w:left w:val="single" w:color="auto" w:sz="4" w:space="0"/>
              <w:bottom w:val="single" w:color="auto" w:sz="4" w:space="0"/>
              <w:right w:val="single" w:color="auto" w:sz="4" w:space="0"/>
            </w:tcBorders>
            <w:vAlign w:val="center"/>
          </w:tcPr>
          <w:p w14:paraId="08F47D49">
            <w:pPr>
              <w:spacing w:line="360" w:lineRule="auto"/>
              <w:jc w:val="center"/>
              <w:rPr>
                <w:rFonts w:ascii="宋体" w:hAnsi="宋体"/>
                <w:color w:val="auto"/>
                <w:szCs w:val="21"/>
              </w:rPr>
            </w:pPr>
            <w:r>
              <w:rPr>
                <w:rFonts w:hint="eastAsia" w:ascii="宋体" w:hAnsi="宋体"/>
                <w:color w:val="auto"/>
                <w:szCs w:val="21"/>
              </w:rPr>
              <w:t>4</w:t>
            </w:r>
          </w:p>
        </w:tc>
        <w:tc>
          <w:tcPr>
            <w:tcW w:w="2183" w:type="dxa"/>
            <w:tcBorders>
              <w:top w:val="single" w:color="auto" w:sz="4" w:space="0"/>
              <w:left w:val="single" w:color="auto" w:sz="4" w:space="0"/>
              <w:bottom w:val="single" w:color="auto" w:sz="4" w:space="0"/>
              <w:right w:val="single" w:color="auto" w:sz="4" w:space="0"/>
            </w:tcBorders>
            <w:vAlign w:val="center"/>
          </w:tcPr>
          <w:p w14:paraId="0C839A56">
            <w:pPr>
              <w:spacing w:line="360" w:lineRule="auto"/>
              <w:jc w:val="center"/>
              <w:rPr>
                <w:rFonts w:ascii="宋体" w:hAnsi="宋体"/>
                <w:color w:val="auto"/>
                <w:szCs w:val="21"/>
              </w:rPr>
            </w:pPr>
            <w:r>
              <w:rPr>
                <w:rFonts w:hint="eastAsia" w:ascii="宋体" w:hAnsi="宋体"/>
                <w:color w:val="auto"/>
                <w:szCs w:val="21"/>
              </w:rPr>
              <w:t>招标控制</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02D41863">
            <w:pPr>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固定单价报价</w:t>
            </w:r>
          </w:p>
        </w:tc>
      </w:tr>
      <w:tr w14:paraId="5C41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8" w:type="dxa"/>
            <w:tcBorders>
              <w:top w:val="single" w:color="auto" w:sz="4" w:space="0"/>
              <w:left w:val="single" w:color="auto" w:sz="4" w:space="0"/>
              <w:bottom w:val="single" w:color="auto" w:sz="4" w:space="0"/>
              <w:right w:val="single" w:color="auto" w:sz="4" w:space="0"/>
            </w:tcBorders>
            <w:vAlign w:val="center"/>
          </w:tcPr>
          <w:p w14:paraId="2F29843D">
            <w:pPr>
              <w:spacing w:line="360" w:lineRule="auto"/>
              <w:jc w:val="center"/>
              <w:rPr>
                <w:rFonts w:ascii="宋体" w:hAnsi="宋体"/>
                <w:color w:val="auto"/>
                <w:szCs w:val="21"/>
              </w:rPr>
            </w:pPr>
            <w:r>
              <w:rPr>
                <w:rFonts w:hint="eastAsia" w:ascii="宋体" w:hAnsi="宋体"/>
                <w:color w:val="auto"/>
                <w:szCs w:val="21"/>
              </w:rPr>
              <w:t>5</w:t>
            </w:r>
          </w:p>
        </w:tc>
        <w:tc>
          <w:tcPr>
            <w:tcW w:w="2183" w:type="dxa"/>
            <w:tcBorders>
              <w:top w:val="single" w:color="auto" w:sz="4" w:space="0"/>
              <w:left w:val="single" w:color="auto" w:sz="4" w:space="0"/>
              <w:bottom w:val="single" w:color="auto" w:sz="4" w:space="0"/>
              <w:right w:val="single" w:color="auto" w:sz="4" w:space="0"/>
            </w:tcBorders>
            <w:vAlign w:val="center"/>
          </w:tcPr>
          <w:p w14:paraId="756B362A">
            <w:pPr>
              <w:spacing w:line="360" w:lineRule="auto"/>
              <w:jc w:val="center"/>
              <w:rPr>
                <w:rFonts w:ascii="宋体" w:hAnsi="宋体"/>
                <w:color w:val="auto"/>
                <w:szCs w:val="21"/>
              </w:rPr>
            </w:pPr>
            <w:r>
              <w:rPr>
                <w:rFonts w:hint="eastAsia" w:ascii="宋体" w:hAnsi="宋体"/>
                <w:color w:val="auto"/>
                <w:szCs w:val="21"/>
              </w:rPr>
              <w:t>结算方式</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383D6412">
            <w:pPr>
              <w:spacing w:line="360" w:lineRule="auto"/>
              <w:rPr>
                <w:rFonts w:ascii="宋体" w:hAnsi="宋体"/>
                <w:color w:val="auto"/>
                <w:szCs w:val="21"/>
              </w:rPr>
            </w:pPr>
            <w:r>
              <w:rPr>
                <w:rFonts w:hint="eastAsia" w:ascii="宋体" w:hAnsi="宋体"/>
                <w:color w:val="auto"/>
                <w:szCs w:val="21"/>
              </w:rPr>
              <w:t>固定单价</w:t>
            </w:r>
          </w:p>
        </w:tc>
      </w:tr>
      <w:tr w14:paraId="6A31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8" w:type="dxa"/>
            <w:tcBorders>
              <w:top w:val="single" w:color="auto" w:sz="4" w:space="0"/>
              <w:left w:val="single" w:color="auto" w:sz="4" w:space="0"/>
              <w:bottom w:val="single" w:color="auto" w:sz="4" w:space="0"/>
              <w:right w:val="single" w:color="auto" w:sz="4" w:space="0"/>
            </w:tcBorders>
            <w:vAlign w:val="center"/>
          </w:tcPr>
          <w:p w14:paraId="4A80AFE3">
            <w:pPr>
              <w:spacing w:line="360" w:lineRule="auto"/>
              <w:jc w:val="center"/>
              <w:rPr>
                <w:rFonts w:ascii="宋体" w:hAnsi="宋体"/>
                <w:color w:val="auto"/>
                <w:szCs w:val="21"/>
              </w:rPr>
            </w:pPr>
            <w:r>
              <w:rPr>
                <w:rFonts w:hint="eastAsia" w:ascii="宋体" w:hAnsi="宋体"/>
                <w:color w:val="auto"/>
                <w:szCs w:val="21"/>
              </w:rPr>
              <w:t>6</w:t>
            </w:r>
          </w:p>
        </w:tc>
        <w:tc>
          <w:tcPr>
            <w:tcW w:w="2183" w:type="dxa"/>
            <w:tcBorders>
              <w:top w:val="single" w:color="auto" w:sz="4" w:space="0"/>
              <w:left w:val="single" w:color="auto" w:sz="4" w:space="0"/>
              <w:bottom w:val="single" w:color="auto" w:sz="4" w:space="0"/>
              <w:right w:val="single" w:color="auto" w:sz="4" w:space="0"/>
            </w:tcBorders>
            <w:vAlign w:val="center"/>
          </w:tcPr>
          <w:p w14:paraId="10D66B98">
            <w:pPr>
              <w:spacing w:line="360" w:lineRule="auto"/>
              <w:jc w:val="center"/>
              <w:rPr>
                <w:rFonts w:ascii="宋体" w:hAnsi="宋体"/>
                <w:color w:val="auto"/>
                <w:szCs w:val="21"/>
              </w:rPr>
            </w:pPr>
            <w:r>
              <w:rPr>
                <w:rFonts w:hint="eastAsia" w:ascii="宋体" w:hAnsi="宋体"/>
                <w:color w:val="auto"/>
                <w:szCs w:val="21"/>
              </w:rPr>
              <w:t>服务内容</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6678A5FB">
            <w:pPr>
              <w:spacing w:line="360" w:lineRule="auto"/>
              <w:rPr>
                <w:rFonts w:ascii="宋体" w:hAnsi="宋体"/>
                <w:color w:val="auto"/>
                <w:szCs w:val="21"/>
              </w:rPr>
            </w:pPr>
            <w:r>
              <w:rPr>
                <w:rFonts w:hint="eastAsia" w:ascii="宋体" w:hAnsi="宋体"/>
                <w:color w:val="auto"/>
                <w:szCs w:val="21"/>
              </w:rPr>
              <w:t>见附表</w:t>
            </w:r>
          </w:p>
        </w:tc>
      </w:tr>
      <w:tr w14:paraId="791E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78" w:type="dxa"/>
            <w:tcBorders>
              <w:top w:val="single" w:color="auto" w:sz="4" w:space="0"/>
              <w:left w:val="single" w:color="auto" w:sz="4" w:space="0"/>
              <w:bottom w:val="single" w:color="auto" w:sz="4" w:space="0"/>
              <w:right w:val="single" w:color="auto" w:sz="4" w:space="0"/>
            </w:tcBorders>
            <w:vAlign w:val="center"/>
          </w:tcPr>
          <w:p w14:paraId="684B364C">
            <w:pPr>
              <w:spacing w:line="360" w:lineRule="auto"/>
              <w:jc w:val="center"/>
              <w:rPr>
                <w:rFonts w:ascii="宋体" w:hAnsi="宋体"/>
                <w:color w:val="auto"/>
                <w:szCs w:val="21"/>
              </w:rPr>
            </w:pPr>
            <w:r>
              <w:rPr>
                <w:rFonts w:hint="eastAsia" w:ascii="宋体" w:hAnsi="宋体"/>
                <w:color w:val="auto"/>
                <w:szCs w:val="21"/>
              </w:rPr>
              <w:t>7</w:t>
            </w:r>
          </w:p>
        </w:tc>
        <w:tc>
          <w:tcPr>
            <w:tcW w:w="2183" w:type="dxa"/>
            <w:tcBorders>
              <w:top w:val="single" w:color="auto" w:sz="4" w:space="0"/>
              <w:left w:val="single" w:color="auto" w:sz="4" w:space="0"/>
              <w:bottom w:val="single" w:color="auto" w:sz="4" w:space="0"/>
              <w:right w:val="single" w:color="auto" w:sz="4" w:space="0"/>
            </w:tcBorders>
            <w:vAlign w:val="center"/>
          </w:tcPr>
          <w:p w14:paraId="658CC174">
            <w:pPr>
              <w:spacing w:line="360" w:lineRule="auto"/>
              <w:jc w:val="center"/>
              <w:rPr>
                <w:rFonts w:ascii="宋体" w:hAnsi="宋体"/>
                <w:color w:val="auto"/>
                <w:szCs w:val="21"/>
              </w:rPr>
            </w:pPr>
            <w:r>
              <w:rPr>
                <w:rFonts w:hint="eastAsia" w:ascii="宋体" w:hAnsi="宋体"/>
                <w:color w:val="auto"/>
                <w:szCs w:val="21"/>
              </w:rPr>
              <w:t>交货期</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7F8B1999">
            <w:pPr>
              <w:spacing w:line="360" w:lineRule="auto"/>
              <w:rPr>
                <w:rFonts w:ascii="宋体" w:hAnsi="宋体"/>
                <w:color w:val="auto"/>
                <w:szCs w:val="21"/>
              </w:rPr>
            </w:pPr>
            <w:r>
              <w:rPr>
                <w:rFonts w:hint="eastAsia" w:ascii="宋体" w:hAnsi="宋体"/>
                <w:color w:val="auto"/>
                <w:szCs w:val="21"/>
              </w:rPr>
              <w:t>接甲方通知后</w:t>
            </w:r>
            <w:r>
              <w:rPr>
                <w:rFonts w:hint="eastAsia" w:ascii="宋体" w:hAnsi="宋体"/>
                <w:color w:val="auto"/>
                <w:szCs w:val="21"/>
                <w:lang w:val="en-US" w:eastAsia="zh-CN"/>
              </w:rPr>
              <w:t>30</w:t>
            </w:r>
            <w:r>
              <w:rPr>
                <w:rFonts w:hint="eastAsia" w:ascii="宋体" w:hAnsi="宋体"/>
                <w:color w:val="auto"/>
                <w:szCs w:val="21"/>
              </w:rPr>
              <w:t>天内</w:t>
            </w:r>
          </w:p>
        </w:tc>
      </w:tr>
      <w:tr w14:paraId="124D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78" w:type="dxa"/>
            <w:tcBorders>
              <w:top w:val="single" w:color="auto" w:sz="4" w:space="0"/>
              <w:left w:val="single" w:color="auto" w:sz="4" w:space="0"/>
              <w:bottom w:val="single" w:color="auto" w:sz="4" w:space="0"/>
              <w:right w:val="single" w:color="auto" w:sz="4" w:space="0"/>
            </w:tcBorders>
            <w:vAlign w:val="center"/>
          </w:tcPr>
          <w:p w14:paraId="77FBE79B">
            <w:pPr>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8</w:t>
            </w:r>
          </w:p>
        </w:tc>
        <w:tc>
          <w:tcPr>
            <w:tcW w:w="2183" w:type="dxa"/>
            <w:tcBorders>
              <w:top w:val="single" w:color="auto" w:sz="4" w:space="0"/>
              <w:left w:val="single" w:color="auto" w:sz="4" w:space="0"/>
              <w:bottom w:val="single" w:color="auto" w:sz="4" w:space="0"/>
              <w:right w:val="single" w:color="auto" w:sz="4" w:space="0"/>
            </w:tcBorders>
            <w:vAlign w:val="center"/>
          </w:tcPr>
          <w:p w14:paraId="0558EC83">
            <w:pPr>
              <w:spacing w:line="360" w:lineRule="auto"/>
              <w:jc w:val="center"/>
              <w:rPr>
                <w:rFonts w:ascii="宋体" w:hAnsi="宋体"/>
                <w:color w:val="auto"/>
                <w:szCs w:val="21"/>
              </w:rPr>
            </w:pPr>
            <w:r>
              <w:rPr>
                <w:rFonts w:hint="eastAsia" w:ascii="宋体" w:hAnsi="宋体"/>
                <w:color w:val="auto"/>
                <w:szCs w:val="21"/>
              </w:rPr>
              <w:t>服务内容/服务承诺</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008E3F96">
            <w:pPr>
              <w:spacing w:line="360" w:lineRule="auto"/>
              <w:rPr>
                <w:rFonts w:ascii="宋体" w:hAnsi="宋体"/>
                <w:b/>
                <w:color w:val="auto"/>
                <w:szCs w:val="21"/>
              </w:rPr>
            </w:pPr>
            <w:r>
              <w:rPr>
                <w:rFonts w:hint="eastAsia" w:ascii="Arial" w:hAnsi="宋体"/>
                <w:bCs/>
                <w:iCs/>
                <w:color w:val="auto"/>
                <w:szCs w:val="28"/>
              </w:rPr>
              <w:t>在投标文件中注明</w:t>
            </w:r>
          </w:p>
        </w:tc>
      </w:tr>
      <w:tr w14:paraId="41C7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78" w:type="dxa"/>
            <w:tcBorders>
              <w:top w:val="single" w:color="auto" w:sz="4" w:space="0"/>
              <w:left w:val="single" w:color="auto" w:sz="4" w:space="0"/>
              <w:bottom w:val="single" w:color="auto" w:sz="4" w:space="0"/>
              <w:right w:val="single" w:color="auto" w:sz="4" w:space="0"/>
            </w:tcBorders>
            <w:vAlign w:val="center"/>
          </w:tcPr>
          <w:p w14:paraId="5F6433FF">
            <w:pPr>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9</w:t>
            </w:r>
          </w:p>
        </w:tc>
        <w:tc>
          <w:tcPr>
            <w:tcW w:w="2183" w:type="dxa"/>
            <w:tcBorders>
              <w:top w:val="single" w:color="auto" w:sz="4" w:space="0"/>
              <w:left w:val="single" w:color="auto" w:sz="4" w:space="0"/>
              <w:bottom w:val="single" w:color="auto" w:sz="4" w:space="0"/>
              <w:right w:val="single" w:color="auto" w:sz="4" w:space="0"/>
            </w:tcBorders>
            <w:vAlign w:val="center"/>
          </w:tcPr>
          <w:p w14:paraId="723E3DDB">
            <w:pPr>
              <w:spacing w:line="360" w:lineRule="auto"/>
              <w:jc w:val="center"/>
              <w:rPr>
                <w:rFonts w:ascii="宋体" w:hAnsi="宋体"/>
                <w:color w:val="auto"/>
                <w:szCs w:val="21"/>
              </w:rPr>
            </w:pPr>
            <w:r>
              <w:rPr>
                <w:rFonts w:hint="eastAsia" w:ascii="宋体" w:hAnsi="宋体"/>
                <w:color w:val="auto"/>
                <w:szCs w:val="21"/>
              </w:rPr>
              <w:t>服务地点</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446965E0">
            <w:pPr>
              <w:spacing w:line="360" w:lineRule="auto"/>
              <w:rPr>
                <w:rFonts w:ascii="宋体" w:hAnsi="宋体"/>
                <w:color w:val="auto"/>
                <w:szCs w:val="21"/>
              </w:rPr>
            </w:pPr>
            <w:r>
              <w:rPr>
                <w:rFonts w:hint="eastAsia" w:ascii="宋体" w:hAnsi="宋体"/>
                <w:color w:val="auto"/>
                <w:szCs w:val="21"/>
              </w:rPr>
              <w:t>招标方指定的地点</w:t>
            </w:r>
          </w:p>
        </w:tc>
      </w:tr>
      <w:tr w14:paraId="67C8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78" w:type="dxa"/>
            <w:tcBorders>
              <w:top w:val="single" w:color="auto" w:sz="4" w:space="0"/>
              <w:left w:val="single" w:color="auto" w:sz="4" w:space="0"/>
              <w:bottom w:val="single" w:color="auto" w:sz="4" w:space="0"/>
              <w:right w:val="single" w:color="auto" w:sz="4" w:space="0"/>
            </w:tcBorders>
            <w:vAlign w:val="center"/>
          </w:tcPr>
          <w:p w14:paraId="38E503EA">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2183" w:type="dxa"/>
            <w:tcBorders>
              <w:top w:val="single" w:color="auto" w:sz="4" w:space="0"/>
              <w:left w:val="single" w:color="auto" w:sz="4" w:space="0"/>
              <w:bottom w:val="single" w:color="auto" w:sz="4" w:space="0"/>
              <w:right w:val="single" w:color="auto" w:sz="4" w:space="0"/>
            </w:tcBorders>
            <w:vAlign w:val="center"/>
          </w:tcPr>
          <w:p w14:paraId="3E942832">
            <w:pPr>
              <w:spacing w:line="360" w:lineRule="auto"/>
              <w:jc w:val="center"/>
              <w:rPr>
                <w:rFonts w:ascii="宋体" w:hAnsi="宋体"/>
                <w:color w:val="auto"/>
                <w:szCs w:val="21"/>
              </w:rPr>
            </w:pPr>
            <w:r>
              <w:rPr>
                <w:rFonts w:hint="eastAsia" w:ascii="宋体" w:hAnsi="宋体"/>
                <w:color w:val="auto"/>
                <w:szCs w:val="21"/>
              </w:rPr>
              <w:t>招标单位</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28391132">
            <w:pPr>
              <w:spacing w:line="360" w:lineRule="auto"/>
              <w:rPr>
                <w:rFonts w:ascii="宋体" w:hAnsi="宋体"/>
                <w:color w:val="auto"/>
                <w:szCs w:val="21"/>
              </w:rPr>
            </w:pPr>
            <w:r>
              <w:rPr>
                <w:rFonts w:hint="eastAsia" w:ascii="宋体" w:hAnsi="宋体"/>
                <w:color w:val="auto"/>
                <w:szCs w:val="21"/>
              </w:rPr>
              <w:t>扬州市上善建设工程有限公司</w:t>
            </w:r>
          </w:p>
        </w:tc>
      </w:tr>
      <w:tr w14:paraId="3525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78" w:type="dxa"/>
            <w:tcBorders>
              <w:top w:val="single" w:color="auto" w:sz="4" w:space="0"/>
              <w:left w:val="single" w:color="auto" w:sz="4" w:space="0"/>
              <w:bottom w:val="single" w:color="auto" w:sz="4" w:space="0"/>
              <w:right w:val="single" w:color="auto" w:sz="4" w:space="0"/>
            </w:tcBorders>
            <w:vAlign w:val="center"/>
          </w:tcPr>
          <w:p w14:paraId="06C569F8">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11</w:t>
            </w:r>
          </w:p>
        </w:tc>
        <w:tc>
          <w:tcPr>
            <w:tcW w:w="2183" w:type="dxa"/>
            <w:tcBorders>
              <w:top w:val="single" w:color="auto" w:sz="4" w:space="0"/>
              <w:left w:val="single" w:color="auto" w:sz="4" w:space="0"/>
              <w:bottom w:val="single" w:color="auto" w:sz="4" w:space="0"/>
              <w:right w:val="single" w:color="auto" w:sz="4" w:space="0"/>
            </w:tcBorders>
            <w:vAlign w:val="center"/>
          </w:tcPr>
          <w:p w14:paraId="2A072802">
            <w:pPr>
              <w:spacing w:line="360" w:lineRule="auto"/>
              <w:jc w:val="center"/>
              <w:rPr>
                <w:rFonts w:ascii="宋体" w:hAnsi="宋体"/>
                <w:color w:val="auto"/>
                <w:szCs w:val="21"/>
              </w:rPr>
            </w:pPr>
            <w:r>
              <w:rPr>
                <w:rFonts w:hint="eastAsia" w:ascii="宋体" w:hAnsi="宋体"/>
                <w:color w:val="auto"/>
                <w:szCs w:val="21"/>
              </w:rPr>
              <w:t>投标文件份数</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0F556183">
            <w:pPr>
              <w:spacing w:line="360" w:lineRule="auto"/>
              <w:rPr>
                <w:rFonts w:ascii="宋体" w:hAnsi="宋体"/>
                <w:color w:val="auto"/>
                <w:szCs w:val="21"/>
              </w:rPr>
            </w:pPr>
            <w:r>
              <w:rPr>
                <w:rFonts w:hint="eastAsia" w:ascii="宋体" w:hAnsi="宋体"/>
                <w:color w:val="auto"/>
                <w:szCs w:val="21"/>
              </w:rPr>
              <w:t>正本一份</w:t>
            </w:r>
          </w:p>
        </w:tc>
      </w:tr>
      <w:tr w14:paraId="6B22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78" w:type="dxa"/>
            <w:tcBorders>
              <w:top w:val="single" w:color="auto" w:sz="4" w:space="0"/>
              <w:left w:val="single" w:color="auto" w:sz="4" w:space="0"/>
              <w:bottom w:val="single" w:color="auto" w:sz="4" w:space="0"/>
              <w:right w:val="single" w:color="auto" w:sz="4" w:space="0"/>
            </w:tcBorders>
            <w:vAlign w:val="center"/>
          </w:tcPr>
          <w:p w14:paraId="5FF7C54D">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12</w:t>
            </w:r>
          </w:p>
        </w:tc>
        <w:tc>
          <w:tcPr>
            <w:tcW w:w="2183" w:type="dxa"/>
            <w:tcBorders>
              <w:top w:val="single" w:color="auto" w:sz="4" w:space="0"/>
              <w:left w:val="single" w:color="auto" w:sz="4" w:space="0"/>
              <w:bottom w:val="single" w:color="auto" w:sz="4" w:space="0"/>
              <w:right w:val="single" w:color="auto" w:sz="4" w:space="0"/>
            </w:tcBorders>
            <w:vAlign w:val="center"/>
          </w:tcPr>
          <w:p w14:paraId="3B35DC88">
            <w:pPr>
              <w:spacing w:line="360" w:lineRule="auto"/>
              <w:jc w:val="center"/>
              <w:rPr>
                <w:rFonts w:ascii="宋体" w:hAnsi="宋体"/>
                <w:color w:val="auto"/>
                <w:szCs w:val="21"/>
              </w:rPr>
            </w:pPr>
            <w:r>
              <w:rPr>
                <w:rFonts w:hint="eastAsia" w:ascii="宋体" w:hAnsi="宋体"/>
                <w:color w:val="auto"/>
                <w:szCs w:val="21"/>
              </w:rPr>
              <w:t>投标有效期</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2892F92A">
            <w:pPr>
              <w:spacing w:line="360" w:lineRule="auto"/>
              <w:jc w:val="left"/>
              <w:rPr>
                <w:rFonts w:ascii="宋体" w:hAnsi="宋体"/>
                <w:color w:val="auto"/>
                <w:szCs w:val="21"/>
              </w:rPr>
            </w:pPr>
            <w:r>
              <w:rPr>
                <w:rFonts w:hint="eastAsia" w:ascii="宋体" w:hAnsi="宋体"/>
                <w:color w:val="auto"/>
                <w:szCs w:val="21"/>
              </w:rPr>
              <w:t>从投标截止日起</w:t>
            </w:r>
            <w:r>
              <w:rPr>
                <w:rFonts w:hint="eastAsia" w:ascii="宋体" w:hAnsi="宋体"/>
                <w:color w:val="auto"/>
                <w:szCs w:val="21"/>
                <w:u w:val="none"/>
                <w:lang w:val="en-US" w:eastAsia="zh-CN"/>
              </w:rPr>
              <w:t>90</w:t>
            </w:r>
            <w:r>
              <w:rPr>
                <w:rFonts w:hint="eastAsia" w:ascii="宋体" w:hAnsi="宋体"/>
                <w:color w:val="auto"/>
                <w:szCs w:val="21"/>
              </w:rPr>
              <w:t>天内有效，如中标，有效期将延至合同终止日。</w:t>
            </w:r>
          </w:p>
        </w:tc>
      </w:tr>
      <w:tr w14:paraId="1626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78" w:type="dxa"/>
            <w:tcBorders>
              <w:top w:val="single" w:color="auto" w:sz="4" w:space="0"/>
              <w:left w:val="single" w:color="auto" w:sz="4" w:space="0"/>
              <w:bottom w:val="single" w:color="auto" w:sz="4" w:space="0"/>
              <w:right w:val="single" w:color="auto" w:sz="4" w:space="0"/>
            </w:tcBorders>
            <w:vAlign w:val="center"/>
          </w:tcPr>
          <w:p w14:paraId="0E31FB39">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13</w:t>
            </w:r>
          </w:p>
        </w:tc>
        <w:tc>
          <w:tcPr>
            <w:tcW w:w="2183" w:type="dxa"/>
            <w:tcBorders>
              <w:top w:val="single" w:color="auto" w:sz="4" w:space="0"/>
              <w:left w:val="single" w:color="auto" w:sz="4" w:space="0"/>
              <w:bottom w:val="single" w:color="auto" w:sz="4" w:space="0"/>
              <w:right w:val="single" w:color="auto" w:sz="4" w:space="0"/>
            </w:tcBorders>
            <w:vAlign w:val="center"/>
          </w:tcPr>
          <w:p w14:paraId="54ACCD1C">
            <w:pPr>
              <w:spacing w:line="360" w:lineRule="auto"/>
              <w:rPr>
                <w:rFonts w:ascii="宋体" w:hAnsi="宋体"/>
                <w:color w:val="auto"/>
                <w:szCs w:val="21"/>
              </w:rPr>
            </w:pPr>
            <w:r>
              <w:rPr>
                <w:rFonts w:hint="eastAsia" w:ascii="宋体" w:hAnsi="宋体"/>
                <w:color w:val="auto"/>
                <w:szCs w:val="21"/>
              </w:rPr>
              <w:t>投标起止截止时间</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35BA9C60">
            <w:pPr>
              <w:spacing w:line="360" w:lineRule="auto"/>
              <w:rPr>
                <w:rFonts w:ascii="宋体" w:hAnsi="宋体"/>
                <w:color w:val="auto"/>
                <w:szCs w:val="21"/>
              </w:rPr>
            </w:pP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 xml:space="preserve">8 </w:t>
            </w:r>
            <w:r>
              <w:rPr>
                <w:rFonts w:ascii="宋体" w:hAnsi="宋体"/>
                <w:color w:val="auto"/>
                <w:szCs w:val="21"/>
              </w:rPr>
              <w:t>月</w:t>
            </w:r>
            <w:r>
              <w:rPr>
                <w:rFonts w:hint="eastAsia" w:ascii="宋体" w:hAnsi="宋体"/>
                <w:color w:val="auto"/>
                <w:szCs w:val="21"/>
                <w:lang w:val="en-US" w:eastAsia="zh-CN"/>
              </w:rPr>
              <w:t xml:space="preserve"> 20</w:t>
            </w:r>
            <w:r>
              <w:rPr>
                <w:rFonts w:ascii="宋体" w:hAnsi="宋体"/>
                <w:color w:val="auto"/>
                <w:szCs w:val="21"/>
              </w:rPr>
              <w:t>日至</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 xml:space="preserve"> 22 </w:t>
            </w:r>
            <w:r>
              <w:rPr>
                <w:rFonts w:hint="eastAsia" w:ascii="宋体" w:hAnsi="宋体"/>
                <w:color w:val="auto"/>
                <w:szCs w:val="21"/>
              </w:rPr>
              <w:t>日下午</w:t>
            </w:r>
            <w:r>
              <w:rPr>
                <w:rFonts w:hint="eastAsia" w:ascii="宋体" w:hAnsi="宋体"/>
                <w:color w:val="auto"/>
                <w:szCs w:val="21"/>
                <w:lang w:val="en-US" w:eastAsia="zh-CN"/>
              </w:rPr>
              <w:t xml:space="preserve"> 16 </w:t>
            </w:r>
            <w:r>
              <w:rPr>
                <w:rFonts w:hint="eastAsia" w:ascii="宋体" w:hAnsi="宋体"/>
                <w:color w:val="auto"/>
                <w:szCs w:val="21"/>
              </w:rPr>
              <w:t>时</w:t>
            </w:r>
            <w:r>
              <w:rPr>
                <w:rFonts w:hint="eastAsia" w:ascii="宋体" w:hAnsi="宋体" w:cs="宋体"/>
                <w:color w:val="auto"/>
                <w:kern w:val="0"/>
                <w:szCs w:val="21"/>
              </w:rPr>
              <w:t>（北京时间）</w:t>
            </w:r>
          </w:p>
        </w:tc>
      </w:tr>
      <w:tr w14:paraId="680C3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78" w:type="dxa"/>
            <w:tcBorders>
              <w:top w:val="single" w:color="auto" w:sz="4" w:space="0"/>
              <w:left w:val="single" w:color="auto" w:sz="4" w:space="0"/>
              <w:bottom w:val="nil"/>
              <w:right w:val="single" w:color="auto" w:sz="4" w:space="0"/>
            </w:tcBorders>
            <w:vAlign w:val="center"/>
          </w:tcPr>
          <w:p w14:paraId="6725A5D7">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14</w:t>
            </w:r>
          </w:p>
        </w:tc>
        <w:tc>
          <w:tcPr>
            <w:tcW w:w="2183" w:type="dxa"/>
            <w:tcBorders>
              <w:top w:val="single" w:color="auto" w:sz="4" w:space="0"/>
              <w:left w:val="single" w:color="auto" w:sz="8" w:space="0"/>
              <w:bottom w:val="single" w:color="auto" w:sz="4" w:space="0"/>
              <w:right w:val="single" w:color="auto" w:sz="4" w:space="0"/>
            </w:tcBorders>
            <w:vAlign w:val="center"/>
          </w:tcPr>
          <w:p w14:paraId="70821987">
            <w:pPr>
              <w:spacing w:line="360" w:lineRule="auto"/>
              <w:rPr>
                <w:rFonts w:ascii="宋体" w:hAnsi="宋体"/>
                <w:color w:val="auto"/>
                <w:szCs w:val="21"/>
              </w:rPr>
            </w:pPr>
            <w:r>
              <w:rPr>
                <w:rFonts w:hint="eastAsia" w:ascii="宋体" w:hAnsi="宋体"/>
                <w:color w:val="auto"/>
                <w:szCs w:val="21"/>
              </w:rPr>
              <w:t>投标文件递交地址</w:t>
            </w:r>
          </w:p>
        </w:tc>
        <w:tc>
          <w:tcPr>
            <w:tcW w:w="6458" w:type="dxa"/>
            <w:gridSpan w:val="3"/>
            <w:tcBorders>
              <w:top w:val="single" w:color="auto" w:sz="4" w:space="0"/>
              <w:left w:val="single" w:color="auto" w:sz="4" w:space="0"/>
              <w:bottom w:val="single" w:color="auto" w:sz="4" w:space="0"/>
              <w:right w:val="single" w:color="auto" w:sz="8" w:space="0"/>
            </w:tcBorders>
            <w:vAlign w:val="center"/>
          </w:tcPr>
          <w:p w14:paraId="5B9D0198">
            <w:pPr>
              <w:spacing w:line="360" w:lineRule="auto"/>
              <w:rPr>
                <w:rFonts w:hint="eastAsia" w:ascii="宋体" w:hAnsi="宋体" w:eastAsia="宋体"/>
                <w:color w:val="auto"/>
                <w:szCs w:val="21"/>
                <w:lang w:eastAsia="zh-CN"/>
              </w:rPr>
            </w:pPr>
            <w:r>
              <w:rPr>
                <w:rFonts w:hint="eastAsia" w:ascii="宋体" w:hAnsi="宋体"/>
                <w:color w:val="auto"/>
                <w:szCs w:val="21"/>
                <w:lang w:val="en-US" w:eastAsia="zh-CN"/>
              </w:rPr>
              <w:t xml:space="preserve"> </w:t>
            </w:r>
            <w:bookmarkStart w:id="2" w:name="_GoBack"/>
            <w:bookmarkEnd w:id="2"/>
          </w:p>
        </w:tc>
      </w:tr>
      <w:tr w14:paraId="1D826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578" w:type="dxa"/>
            <w:tcBorders>
              <w:top w:val="single" w:color="auto" w:sz="4" w:space="0"/>
              <w:left w:val="single" w:color="auto" w:sz="4" w:space="0"/>
              <w:bottom w:val="single" w:color="auto" w:sz="4" w:space="0"/>
              <w:right w:val="single" w:color="auto" w:sz="4" w:space="0"/>
            </w:tcBorders>
            <w:vAlign w:val="center"/>
          </w:tcPr>
          <w:p w14:paraId="3DF3CD3C">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15</w:t>
            </w:r>
          </w:p>
        </w:tc>
        <w:tc>
          <w:tcPr>
            <w:tcW w:w="2183" w:type="dxa"/>
            <w:tcBorders>
              <w:top w:val="single" w:color="auto" w:sz="4" w:space="0"/>
              <w:left w:val="single" w:color="auto" w:sz="8" w:space="0"/>
              <w:bottom w:val="single" w:color="auto" w:sz="4" w:space="0"/>
              <w:right w:val="single" w:color="auto" w:sz="4" w:space="0"/>
            </w:tcBorders>
            <w:vAlign w:val="center"/>
          </w:tcPr>
          <w:p w14:paraId="0897A7FC">
            <w:pPr>
              <w:spacing w:line="360" w:lineRule="auto"/>
              <w:jc w:val="center"/>
              <w:rPr>
                <w:rFonts w:ascii="宋体" w:hAnsi="宋体"/>
                <w:color w:val="auto"/>
                <w:szCs w:val="21"/>
              </w:rPr>
            </w:pPr>
            <w:r>
              <w:rPr>
                <w:rFonts w:hint="eastAsia" w:ascii="宋体" w:hAnsi="宋体"/>
                <w:color w:val="auto"/>
                <w:szCs w:val="21"/>
              </w:rPr>
              <w:t>开标会时间</w:t>
            </w:r>
          </w:p>
        </w:tc>
        <w:tc>
          <w:tcPr>
            <w:tcW w:w="2067" w:type="dxa"/>
            <w:tcBorders>
              <w:top w:val="single" w:color="auto" w:sz="4" w:space="0"/>
              <w:left w:val="single" w:color="auto" w:sz="4" w:space="0"/>
              <w:bottom w:val="single" w:color="auto" w:sz="4" w:space="0"/>
              <w:right w:val="single" w:color="auto" w:sz="4" w:space="0"/>
            </w:tcBorders>
            <w:vAlign w:val="center"/>
          </w:tcPr>
          <w:p w14:paraId="0D2FBCE1">
            <w:pPr>
              <w:spacing w:line="360" w:lineRule="auto"/>
              <w:ind w:left="630" w:leftChars="300"/>
              <w:rPr>
                <w:rFonts w:ascii="宋体" w:hAnsi="宋体"/>
                <w:color w:val="auto"/>
                <w:szCs w:val="21"/>
              </w:rPr>
            </w:pPr>
            <w:r>
              <w:rPr>
                <w:rFonts w:hint="eastAsia" w:ascii="宋体" w:hAnsi="宋体"/>
                <w:color w:val="auto"/>
                <w:szCs w:val="21"/>
              </w:rPr>
              <w:t xml:space="preserve"> 另 定</w:t>
            </w:r>
          </w:p>
        </w:tc>
        <w:tc>
          <w:tcPr>
            <w:tcW w:w="1144" w:type="dxa"/>
            <w:tcBorders>
              <w:top w:val="single" w:color="auto" w:sz="4" w:space="0"/>
              <w:left w:val="single" w:color="auto" w:sz="4" w:space="0"/>
              <w:bottom w:val="single" w:color="auto" w:sz="4" w:space="0"/>
              <w:right w:val="single" w:color="auto" w:sz="4" w:space="0"/>
            </w:tcBorders>
            <w:vAlign w:val="center"/>
          </w:tcPr>
          <w:p w14:paraId="32515A50">
            <w:pPr>
              <w:spacing w:line="360" w:lineRule="auto"/>
              <w:jc w:val="center"/>
              <w:rPr>
                <w:rFonts w:ascii="宋体" w:hAnsi="宋体"/>
                <w:color w:val="auto"/>
                <w:szCs w:val="21"/>
              </w:rPr>
            </w:pPr>
            <w:r>
              <w:rPr>
                <w:rFonts w:hint="eastAsia" w:ascii="宋体" w:hAnsi="宋体"/>
                <w:color w:val="auto"/>
                <w:szCs w:val="21"/>
              </w:rPr>
              <w:t>地址</w:t>
            </w:r>
          </w:p>
        </w:tc>
        <w:tc>
          <w:tcPr>
            <w:tcW w:w="3247" w:type="dxa"/>
            <w:tcBorders>
              <w:top w:val="single" w:color="auto" w:sz="4" w:space="0"/>
              <w:left w:val="single" w:color="auto" w:sz="4" w:space="0"/>
              <w:bottom w:val="single" w:color="auto" w:sz="4" w:space="0"/>
              <w:right w:val="single" w:color="auto" w:sz="8" w:space="0"/>
            </w:tcBorders>
            <w:vAlign w:val="center"/>
          </w:tcPr>
          <w:p w14:paraId="625B5BB8">
            <w:pPr>
              <w:spacing w:line="380" w:lineRule="exact"/>
              <w:rPr>
                <w:rFonts w:ascii="宋体" w:hAnsi="宋体"/>
                <w:color w:val="auto"/>
                <w:szCs w:val="21"/>
              </w:rPr>
            </w:pPr>
            <w:r>
              <w:rPr>
                <w:rFonts w:hint="eastAsia" w:ascii="宋体" w:hAnsi="宋体"/>
                <w:color w:val="auto"/>
                <w:szCs w:val="21"/>
              </w:rPr>
              <w:t>扬州市上善建设工程有限公司一楼会议室</w:t>
            </w:r>
          </w:p>
        </w:tc>
      </w:tr>
      <w:tr w14:paraId="15C7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578" w:type="dxa"/>
            <w:tcBorders>
              <w:top w:val="single" w:color="auto" w:sz="4" w:space="0"/>
              <w:left w:val="single" w:color="auto" w:sz="4" w:space="0"/>
              <w:bottom w:val="single" w:color="auto" w:sz="4" w:space="0"/>
              <w:right w:val="single" w:color="auto" w:sz="4" w:space="0"/>
            </w:tcBorders>
            <w:vAlign w:val="center"/>
          </w:tcPr>
          <w:p w14:paraId="5CACAE71">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16</w:t>
            </w:r>
          </w:p>
        </w:tc>
        <w:tc>
          <w:tcPr>
            <w:tcW w:w="2183" w:type="dxa"/>
            <w:tcBorders>
              <w:top w:val="single" w:color="auto" w:sz="4" w:space="0"/>
              <w:left w:val="single" w:color="auto" w:sz="4" w:space="0"/>
              <w:bottom w:val="single" w:color="auto" w:sz="4" w:space="0"/>
              <w:right w:val="single" w:color="auto" w:sz="4" w:space="0"/>
            </w:tcBorders>
            <w:vAlign w:val="center"/>
          </w:tcPr>
          <w:p w14:paraId="6C06CCE5">
            <w:pPr>
              <w:spacing w:line="360" w:lineRule="auto"/>
              <w:jc w:val="center"/>
              <w:rPr>
                <w:rFonts w:ascii="宋体" w:hAnsi="宋体"/>
                <w:color w:val="auto"/>
                <w:szCs w:val="21"/>
              </w:rPr>
            </w:pPr>
            <w:r>
              <w:rPr>
                <w:rFonts w:hint="eastAsia" w:ascii="宋体" w:hAnsi="宋体"/>
                <w:color w:val="auto"/>
                <w:szCs w:val="21"/>
              </w:rPr>
              <w:t>标书装订</w:t>
            </w:r>
          </w:p>
          <w:p w14:paraId="435B5E44">
            <w:pPr>
              <w:spacing w:line="360" w:lineRule="auto"/>
              <w:jc w:val="center"/>
              <w:rPr>
                <w:rFonts w:ascii="宋体" w:hAnsi="宋体"/>
                <w:color w:val="auto"/>
                <w:szCs w:val="21"/>
              </w:rPr>
            </w:pPr>
            <w:r>
              <w:rPr>
                <w:rFonts w:hint="eastAsia" w:ascii="宋体" w:hAnsi="宋体"/>
                <w:color w:val="auto"/>
                <w:szCs w:val="21"/>
              </w:rPr>
              <w:t>及密封要求</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3B48D5B7">
            <w:pPr>
              <w:spacing w:line="380" w:lineRule="exact"/>
              <w:rPr>
                <w:rFonts w:ascii="宋体" w:hAnsi="宋体"/>
                <w:color w:val="auto"/>
                <w:szCs w:val="21"/>
              </w:rPr>
            </w:pPr>
            <w:r>
              <w:rPr>
                <w:rFonts w:hint="eastAsia" w:ascii="宋体" w:hAnsi="宋体"/>
                <w:color w:val="auto"/>
                <w:szCs w:val="21"/>
              </w:rPr>
              <w:t>所有封袋上应写明招标人名称、投标项目名称及投标人的名称。</w:t>
            </w:r>
          </w:p>
          <w:p w14:paraId="789B6E35">
            <w:pPr>
              <w:spacing w:line="380" w:lineRule="exact"/>
              <w:rPr>
                <w:rFonts w:ascii="宋体" w:hAnsi="宋体"/>
                <w:color w:val="auto"/>
                <w:szCs w:val="21"/>
              </w:rPr>
            </w:pPr>
            <w:r>
              <w:rPr>
                <w:rFonts w:hint="eastAsia" w:ascii="宋体" w:hAnsi="宋体"/>
                <w:color w:val="auto"/>
                <w:szCs w:val="21"/>
              </w:rPr>
              <w:t xml:space="preserve">所有投标文件都必须在封袋加盖投标单位法人公章及其法定代表人或授权委托人印鉴 。 </w:t>
            </w:r>
          </w:p>
        </w:tc>
      </w:tr>
      <w:tr w14:paraId="2129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578" w:type="dxa"/>
            <w:tcBorders>
              <w:top w:val="single" w:color="auto" w:sz="4" w:space="0"/>
              <w:left w:val="single" w:color="auto" w:sz="4" w:space="0"/>
              <w:bottom w:val="single" w:color="auto" w:sz="4" w:space="0"/>
              <w:right w:val="single" w:color="auto" w:sz="4" w:space="0"/>
            </w:tcBorders>
            <w:vAlign w:val="center"/>
          </w:tcPr>
          <w:p w14:paraId="70D516F9">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17</w:t>
            </w:r>
          </w:p>
        </w:tc>
        <w:tc>
          <w:tcPr>
            <w:tcW w:w="2183" w:type="dxa"/>
            <w:tcBorders>
              <w:top w:val="single" w:color="auto" w:sz="4" w:space="0"/>
              <w:left w:val="single" w:color="auto" w:sz="4" w:space="0"/>
              <w:bottom w:val="single" w:color="auto" w:sz="4" w:space="0"/>
              <w:right w:val="single" w:color="auto" w:sz="4" w:space="0"/>
            </w:tcBorders>
            <w:vAlign w:val="center"/>
          </w:tcPr>
          <w:p w14:paraId="13C6313C">
            <w:pPr>
              <w:spacing w:line="360" w:lineRule="auto"/>
              <w:jc w:val="center"/>
              <w:rPr>
                <w:rFonts w:ascii="宋体" w:hAnsi="宋体"/>
                <w:color w:val="auto"/>
                <w:szCs w:val="21"/>
              </w:rPr>
            </w:pPr>
            <w:r>
              <w:rPr>
                <w:rFonts w:hint="eastAsia" w:ascii="宋体" w:hAnsi="宋体"/>
                <w:color w:val="auto"/>
                <w:szCs w:val="21"/>
              </w:rPr>
              <w:t>其他</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14783909">
            <w:pPr>
              <w:numPr>
                <w:ilvl w:val="0"/>
                <w:numId w:val="2"/>
              </w:numPr>
              <w:spacing w:line="380" w:lineRule="exact"/>
              <w:ind w:left="357" w:hanging="357"/>
              <w:rPr>
                <w:rFonts w:ascii="宋体" w:hAnsi="宋体"/>
                <w:color w:val="auto"/>
                <w:szCs w:val="21"/>
              </w:rPr>
            </w:pPr>
            <w:r>
              <w:rPr>
                <w:rFonts w:hint="eastAsia" w:ascii="宋体" w:hAnsi="宋体"/>
                <w:color w:val="auto"/>
                <w:szCs w:val="21"/>
              </w:rPr>
              <w:t>下文中与“前附表”内容不一致的，以“前附表”为准；</w:t>
            </w:r>
          </w:p>
          <w:p w14:paraId="6C65BE3C">
            <w:pPr>
              <w:numPr>
                <w:ilvl w:val="0"/>
                <w:numId w:val="2"/>
              </w:numPr>
              <w:spacing w:line="380" w:lineRule="exact"/>
              <w:ind w:left="357" w:hanging="357"/>
              <w:rPr>
                <w:rFonts w:ascii="宋体" w:hAnsi="宋体"/>
                <w:color w:val="auto"/>
                <w:szCs w:val="21"/>
              </w:rPr>
            </w:pPr>
            <w:r>
              <w:rPr>
                <w:rFonts w:hint="eastAsia" w:ascii="宋体" w:hAnsi="宋体"/>
                <w:color w:val="auto"/>
                <w:szCs w:val="21"/>
              </w:rPr>
              <w:t>本招标文件的解释权属于扬州市上善建设工程有限公司</w:t>
            </w:r>
          </w:p>
          <w:p w14:paraId="53D460EF">
            <w:pPr>
              <w:pStyle w:val="8"/>
              <w:ind w:left="0" w:leftChars="0"/>
              <w:rPr>
                <w:color w:val="auto"/>
              </w:rPr>
            </w:pPr>
          </w:p>
        </w:tc>
      </w:tr>
      <w:tr w14:paraId="2E9D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578" w:type="dxa"/>
            <w:tcBorders>
              <w:top w:val="single" w:color="auto" w:sz="4" w:space="0"/>
              <w:left w:val="single" w:color="auto" w:sz="4" w:space="0"/>
              <w:bottom w:val="single" w:color="auto" w:sz="4" w:space="0"/>
              <w:right w:val="single" w:color="auto" w:sz="4" w:space="0"/>
            </w:tcBorders>
            <w:vAlign w:val="center"/>
          </w:tcPr>
          <w:p w14:paraId="362AED93">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18</w:t>
            </w:r>
          </w:p>
        </w:tc>
        <w:tc>
          <w:tcPr>
            <w:tcW w:w="2183" w:type="dxa"/>
            <w:tcBorders>
              <w:top w:val="single" w:color="auto" w:sz="4" w:space="0"/>
              <w:left w:val="single" w:color="auto" w:sz="4" w:space="0"/>
              <w:bottom w:val="single" w:color="auto" w:sz="4" w:space="0"/>
              <w:right w:val="single" w:color="auto" w:sz="4" w:space="0"/>
            </w:tcBorders>
            <w:vAlign w:val="center"/>
          </w:tcPr>
          <w:p w14:paraId="5D792598">
            <w:pPr>
              <w:spacing w:line="360" w:lineRule="auto"/>
              <w:jc w:val="center"/>
              <w:rPr>
                <w:rFonts w:ascii="宋体" w:hAnsi="宋体"/>
                <w:color w:val="auto"/>
                <w:szCs w:val="21"/>
              </w:rPr>
            </w:pPr>
            <w:r>
              <w:rPr>
                <w:rFonts w:hint="eastAsia" w:ascii="宋体" w:hAnsi="宋体"/>
                <w:color w:val="auto"/>
                <w:szCs w:val="21"/>
              </w:rPr>
              <w:t>联系方式</w:t>
            </w:r>
          </w:p>
        </w:tc>
        <w:tc>
          <w:tcPr>
            <w:tcW w:w="6458" w:type="dxa"/>
            <w:gridSpan w:val="3"/>
            <w:tcBorders>
              <w:top w:val="single" w:color="auto" w:sz="4" w:space="0"/>
              <w:left w:val="single" w:color="auto" w:sz="4" w:space="0"/>
              <w:bottom w:val="single" w:color="auto" w:sz="4" w:space="0"/>
              <w:right w:val="single" w:color="auto" w:sz="4" w:space="0"/>
            </w:tcBorders>
            <w:vAlign w:val="center"/>
          </w:tcPr>
          <w:p w14:paraId="571C7F87">
            <w:pPr>
              <w:adjustRightInd w:val="0"/>
              <w:spacing w:line="380" w:lineRule="exact"/>
              <w:rPr>
                <w:rFonts w:ascii="宋体" w:hAnsi="宋体"/>
                <w:color w:val="auto"/>
                <w:szCs w:val="21"/>
              </w:rPr>
            </w:pPr>
            <w:r>
              <w:rPr>
                <w:rFonts w:hint="eastAsia" w:ascii="宋体" w:hAnsi="宋体"/>
                <w:color w:val="auto"/>
                <w:szCs w:val="21"/>
              </w:rPr>
              <w:t>招标人：扬州市上善建设工程有限公司</w:t>
            </w:r>
          </w:p>
          <w:p w14:paraId="4C7D544E">
            <w:pPr>
              <w:adjustRightInd w:val="0"/>
              <w:spacing w:line="380" w:lineRule="exact"/>
              <w:rPr>
                <w:rFonts w:ascii="宋体" w:hAnsi="宋体"/>
                <w:color w:val="auto"/>
                <w:szCs w:val="21"/>
              </w:rPr>
            </w:pPr>
            <w:r>
              <w:rPr>
                <w:rFonts w:hint="eastAsia" w:ascii="宋体" w:hAnsi="宋体"/>
                <w:color w:val="auto"/>
                <w:szCs w:val="21"/>
              </w:rPr>
              <w:t>地  址：扬州市立新路14号</w:t>
            </w:r>
          </w:p>
          <w:p w14:paraId="5B84CCF5">
            <w:pPr>
              <w:adjustRightInd w:val="0"/>
              <w:spacing w:line="380" w:lineRule="exact"/>
              <w:rPr>
                <w:rFonts w:hint="default" w:ascii="宋体" w:hAnsi="宋体" w:eastAsia="宋体"/>
                <w:color w:val="auto"/>
                <w:szCs w:val="21"/>
                <w:lang w:val="en-US" w:eastAsia="zh-CN"/>
              </w:rPr>
            </w:pPr>
            <w:r>
              <w:rPr>
                <w:rFonts w:hint="eastAsia" w:ascii="宋体" w:hAnsi="宋体"/>
                <w:color w:val="auto"/>
                <w:szCs w:val="21"/>
              </w:rPr>
              <w:t>电  话：</w:t>
            </w:r>
            <w:r>
              <w:rPr>
                <w:rFonts w:hint="eastAsia" w:ascii="宋体" w:hAnsi="宋体"/>
                <w:color w:val="auto"/>
                <w:szCs w:val="21"/>
                <w:lang w:val="en-US" w:eastAsia="zh-CN"/>
              </w:rPr>
              <w:t>18052597958</w:t>
            </w:r>
          </w:p>
          <w:p w14:paraId="35F7E499">
            <w:pPr>
              <w:adjustRightInd w:val="0"/>
              <w:spacing w:line="380" w:lineRule="exact"/>
              <w:rPr>
                <w:rFonts w:ascii="宋体" w:hAnsi="宋体"/>
                <w:color w:val="auto"/>
                <w:szCs w:val="21"/>
              </w:rPr>
            </w:pPr>
            <w:r>
              <w:rPr>
                <w:rFonts w:hint="eastAsia" w:ascii="宋体" w:hAnsi="宋体"/>
                <w:color w:val="auto"/>
                <w:szCs w:val="21"/>
              </w:rPr>
              <w:t>联系人：</w:t>
            </w:r>
            <w:r>
              <w:rPr>
                <w:rFonts w:hint="eastAsia" w:ascii="宋体" w:hAnsi="宋体"/>
                <w:color w:val="auto"/>
                <w:szCs w:val="21"/>
                <w:lang w:val="en-US" w:eastAsia="zh-CN"/>
              </w:rPr>
              <w:t>刘准</w:t>
            </w:r>
          </w:p>
        </w:tc>
      </w:tr>
    </w:tbl>
    <w:p w14:paraId="48965DDB">
      <w:pPr>
        <w:autoSpaceDE w:val="0"/>
        <w:autoSpaceDN w:val="0"/>
        <w:adjustRightInd w:val="0"/>
        <w:snapToGrid w:val="0"/>
        <w:spacing w:line="480" w:lineRule="exact"/>
        <w:ind w:firstLine="632" w:firstLineChars="300"/>
        <w:rPr>
          <w:rFonts w:ascii="宋体" w:hAnsi="宋体"/>
          <w:b/>
          <w:color w:val="auto"/>
          <w:szCs w:val="21"/>
        </w:rPr>
      </w:pPr>
      <w:r>
        <w:rPr>
          <w:rFonts w:hint="eastAsia" w:ascii="宋体" w:hAnsi="宋体"/>
          <w:b/>
          <w:color w:val="auto"/>
          <w:szCs w:val="21"/>
        </w:rPr>
        <w:t>一、总    则</w:t>
      </w:r>
    </w:p>
    <w:p w14:paraId="1C05E417">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1、招标项目概况</w:t>
      </w:r>
    </w:p>
    <w:p w14:paraId="480A42AA">
      <w:pPr>
        <w:spacing w:line="360" w:lineRule="auto"/>
        <w:ind w:firstLine="525" w:firstLineChars="250"/>
        <w:rPr>
          <w:rFonts w:ascii="宋体" w:hAnsi="宋体"/>
          <w:color w:val="auto"/>
          <w:szCs w:val="21"/>
        </w:rPr>
      </w:pPr>
      <w:r>
        <w:rPr>
          <w:rFonts w:hint="eastAsia" w:ascii="宋体" w:hAnsi="宋体"/>
          <w:color w:val="auto"/>
          <w:szCs w:val="21"/>
        </w:rPr>
        <w:t>1.1 因</w:t>
      </w:r>
      <w:r>
        <w:rPr>
          <w:rFonts w:hint="eastAsia" w:ascii="宋体" w:hAnsi="宋体"/>
          <w:color w:val="auto"/>
          <w:szCs w:val="21"/>
          <w:lang w:val="en-US" w:eastAsia="zh-CN"/>
        </w:rPr>
        <w:t>公道、方巷、杨寿污水收集处理系统改造工程（二期）EPC工程</w:t>
      </w:r>
      <w:r>
        <w:rPr>
          <w:rFonts w:hint="eastAsia" w:ascii="宋体" w:hAnsi="宋体"/>
          <w:color w:val="auto"/>
          <w:szCs w:val="21"/>
        </w:rPr>
        <w:t>需要材料采购，本招标项目已具备招标条件，现对本项目进行招标。</w:t>
      </w:r>
    </w:p>
    <w:p w14:paraId="5D36901B">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2、投标费用</w:t>
      </w:r>
    </w:p>
    <w:p w14:paraId="4DD9E8EB">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2.1投标人应承担其编制投标文件与递交投标文件所涉及的一切费用。不管投标结果如何，招标人对上述费用不负任何责任。</w:t>
      </w:r>
    </w:p>
    <w:p w14:paraId="56169DAE">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3、保密</w:t>
      </w:r>
    </w:p>
    <w:p w14:paraId="0439934F">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参与招标投标活动的各方应对招标文件和投标文件中的商业和技术等秘密保密，违者应对由此造成的后果承担法律责任。</w:t>
      </w:r>
    </w:p>
    <w:p w14:paraId="675C1B99">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4、合格的投标人</w:t>
      </w:r>
    </w:p>
    <w:p w14:paraId="311B1197">
      <w:pPr>
        <w:spacing w:line="360" w:lineRule="auto"/>
        <w:ind w:firstLine="525" w:firstLineChars="250"/>
        <w:rPr>
          <w:rFonts w:hint="eastAsia" w:ascii="宋体" w:hAnsi="宋体"/>
          <w:color w:val="auto"/>
          <w:szCs w:val="21"/>
        </w:rPr>
      </w:pPr>
      <w:r>
        <w:rPr>
          <w:rFonts w:hint="eastAsia" w:ascii="宋体" w:hAnsi="宋体"/>
          <w:color w:val="auto"/>
          <w:szCs w:val="21"/>
        </w:rPr>
        <w:t>4.1投标人必须是中华人民共和国境内注册的企业法人，应遵守中国有关的法律、法规，严格执行国家标准。</w:t>
      </w:r>
    </w:p>
    <w:p w14:paraId="429F47F4">
      <w:pPr>
        <w:spacing w:line="360" w:lineRule="auto"/>
        <w:ind w:firstLine="525" w:firstLineChars="250"/>
        <w:rPr>
          <w:rFonts w:ascii="宋体" w:hAnsi="宋体"/>
          <w:color w:val="auto"/>
          <w:szCs w:val="21"/>
        </w:rPr>
      </w:pPr>
      <w:r>
        <w:rPr>
          <w:rFonts w:hint="eastAsia" w:ascii="宋体" w:hAnsi="宋体"/>
          <w:color w:val="auto"/>
          <w:szCs w:val="21"/>
        </w:rPr>
        <w:t>4.2代理人具有针对本次投标的投标人法人授权委托书原件。</w:t>
      </w:r>
    </w:p>
    <w:p w14:paraId="10F3F01D">
      <w:pPr>
        <w:pStyle w:val="8"/>
        <w:numPr>
          <w:ilvl w:val="0"/>
          <w:numId w:val="0"/>
        </w:numPr>
        <w:ind w:left="0" w:leftChars="0" w:firstLine="630" w:firstLineChars="300"/>
        <w:jc w:val="left"/>
        <w:rPr>
          <w:rFonts w:ascii="宋体" w:hAnsi="宋体"/>
          <w:color w:val="auto"/>
          <w:szCs w:val="21"/>
        </w:rPr>
      </w:pPr>
      <w:r>
        <w:rPr>
          <w:rFonts w:hint="eastAsia" w:ascii="宋体" w:hAnsi="宋体" w:eastAsia="宋体" w:cs="Times New Roman"/>
          <w:color w:val="auto"/>
          <w:kern w:val="2"/>
          <w:sz w:val="21"/>
          <w:szCs w:val="21"/>
          <w:lang w:val="en-US" w:eastAsia="zh-CN" w:bidi="ar-SA"/>
        </w:rPr>
        <w:t>二、</w:t>
      </w:r>
      <w:r>
        <w:rPr>
          <w:rFonts w:hint="eastAsia" w:ascii="宋体" w:hAnsi="宋体"/>
          <w:b/>
          <w:bCs/>
          <w:color w:val="auto"/>
          <w:szCs w:val="21"/>
        </w:rPr>
        <w:t>招标货物清单及技术规格要求</w:t>
      </w:r>
      <w:r>
        <w:rPr>
          <w:rFonts w:hint="eastAsia" w:ascii="宋体" w:hAnsi="宋体"/>
          <w:color w:val="auto"/>
          <w:szCs w:val="21"/>
        </w:rPr>
        <w:t>。</w:t>
      </w:r>
    </w:p>
    <w:p w14:paraId="02FAFF10">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b/>
          <w:color w:val="auto"/>
          <w:szCs w:val="21"/>
        </w:rPr>
      </w:pPr>
      <w:r>
        <w:rPr>
          <w:rFonts w:ascii="宋体" w:hAnsi="宋体" w:eastAsia="宋体" w:cs="Times New Roman"/>
          <w:b/>
          <w:color w:val="auto"/>
          <w:kern w:val="2"/>
          <w:sz w:val="21"/>
          <w:szCs w:val="21"/>
          <w:lang w:val="en-US" w:eastAsia="zh-CN" w:bidi="ar-SA"/>
        </w:rPr>
        <w:t>1、</w:t>
      </w:r>
      <w:r>
        <w:rPr>
          <w:rFonts w:hint="eastAsia" w:ascii="宋体" w:hAnsi="宋体"/>
          <w:b/>
          <w:color w:val="auto"/>
          <w:szCs w:val="21"/>
        </w:rPr>
        <w:t>符合国家相关质量标准。</w:t>
      </w:r>
    </w:p>
    <w:p w14:paraId="18E017EB">
      <w:pPr>
        <w:numPr>
          <w:ilvl w:val="0"/>
          <w:numId w:val="0"/>
        </w:numPr>
        <w:autoSpaceDE w:val="0"/>
        <w:autoSpaceDN w:val="0"/>
        <w:adjustRightInd w:val="0"/>
        <w:snapToGrid w:val="0"/>
        <w:spacing w:line="480" w:lineRule="exact"/>
        <w:ind w:left="-387" w:leftChars="0" w:firstLine="774" w:firstLineChars="0"/>
        <w:jc w:val="left"/>
        <w:rPr>
          <w:rFonts w:hint="eastAsia" w:asciiTheme="minorEastAsia" w:hAnsiTheme="minorEastAsia" w:eastAsiaTheme="minorEastAsia" w:cstheme="minorEastAsia"/>
          <w:b/>
          <w:bCs/>
          <w:color w:val="auto"/>
          <w:u w:val="single"/>
        </w:rPr>
      </w:pPr>
      <w:r>
        <w:rPr>
          <w:rFonts w:hint="default" w:ascii="宋体" w:hAnsi="宋体" w:eastAsia="宋体" w:cs="Times New Roman"/>
          <w:b/>
          <w:color w:val="auto"/>
          <w:kern w:val="2"/>
          <w:sz w:val="21"/>
          <w:szCs w:val="21"/>
          <w:lang w:val="en-US" w:eastAsia="zh-CN" w:bidi="ar-SA"/>
        </w:rPr>
        <w:t>2、</w:t>
      </w:r>
      <w:r>
        <w:rPr>
          <w:rFonts w:hint="eastAsia" w:ascii="宋体" w:hAnsi="宋体"/>
          <w:b/>
          <w:color w:val="auto"/>
          <w:szCs w:val="21"/>
          <w:lang w:eastAsia="zh-CN"/>
        </w:rPr>
        <w:t>工程名称：</w:t>
      </w:r>
      <w:r>
        <w:rPr>
          <w:rFonts w:hint="eastAsia" w:ascii="宋体" w:hAnsi="宋体"/>
          <w:color w:val="auto"/>
          <w:szCs w:val="21"/>
          <w:u w:val="single"/>
          <w:lang w:val="en-US" w:eastAsia="zh-CN"/>
        </w:rPr>
        <w:t>公道、方巷、杨寿污水收集处理系统改造工程（二期）EPC工程一体化泵站材料采购</w:t>
      </w:r>
    </w:p>
    <w:tbl>
      <w:tblPr>
        <w:tblStyle w:val="18"/>
        <w:tblW w:w="101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181"/>
        <w:gridCol w:w="1697"/>
        <w:gridCol w:w="3734"/>
        <w:gridCol w:w="766"/>
        <w:gridCol w:w="1411"/>
        <w:gridCol w:w="709"/>
      </w:tblGrid>
      <w:tr w14:paraId="3FBE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5EF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序号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287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部位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B2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eastAsia="宋体" w:cs="Times New Roman"/>
                <w:i w:val="0"/>
                <w:iCs w:val="0"/>
                <w:color w:val="auto"/>
                <w:sz w:val="21"/>
                <w:szCs w:val="21"/>
                <w:u w:val="none"/>
                <w:lang w:eastAsia="zh-CN"/>
              </w:rPr>
              <w:t>名称</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01C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规格</w:t>
            </w:r>
          </w:p>
        </w:tc>
        <w:tc>
          <w:tcPr>
            <w:tcW w:w="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0040F60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w:t>
            </w:r>
          </w:p>
        </w:tc>
        <w:tc>
          <w:tcPr>
            <w:tcW w:w="1411" w:type="dxa"/>
            <w:tcBorders>
              <w:top w:val="single" w:color="000000" w:sz="4" w:space="0"/>
              <w:left w:val="single" w:color="000000" w:sz="4" w:space="0"/>
              <w:bottom w:val="single" w:color="auto" w:sz="4" w:space="0"/>
              <w:right w:val="single" w:color="000000" w:sz="4" w:space="0"/>
            </w:tcBorders>
            <w:shd w:val="clear" w:color="auto" w:fill="auto"/>
            <w:vAlign w:val="center"/>
          </w:tcPr>
          <w:p w14:paraId="7A6C05D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最高限价</w:t>
            </w:r>
            <w:r>
              <w:rPr>
                <w:rStyle w:val="37"/>
                <w:rFonts w:hint="default" w:ascii="Times New Roman" w:hAnsi="Times New Roman" w:cs="Times New Roman"/>
                <w:color w:val="auto"/>
                <w:lang w:val="en-US" w:eastAsia="zh-CN" w:bidi="ar"/>
              </w:rPr>
              <w:t>（含</w:t>
            </w:r>
            <w:r>
              <w:rPr>
                <w:rStyle w:val="38"/>
                <w:rFonts w:hint="default" w:ascii="Times New Roman" w:hAnsi="Times New Roman" w:eastAsia="宋体" w:cs="Times New Roman"/>
                <w:color w:val="auto"/>
                <w:lang w:val="en-US" w:eastAsia="zh-CN" w:bidi="ar"/>
              </w:rPr>
              <w:t>13%</w:t>
            </w:r>
            <w:r>
              <w:rPr>
                <w:rStyle w:val="37"/>
                <w:rFonts w:hint="default" w:ascii="Times New Roman" w:hAnsi="Times New Roman" w:cs="Times New Roman"/>
                <w:color w:val="auto"/>
                <w:lang w:val="en-US" w:eastAsia="zh-CN" w:bidi="ar"/>
              </w:rPr>
              <w:t>税价）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10D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备注</w:t>
            </w:r>
          </w:p>
        </w:tc>
      </w:tr>
      <w:tr w14:paraId="5F41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A9A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828E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方巷镇中</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途增压泵</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624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一体化泵站</w:t>
            </w:r>
          </w:p>
        </w:tc>
        <w:tc>
          <w:tcPr>
            <w:tcW w:w="3734" w:type="dxa"/>
            <w:tcBorders>
              <w:top w:val="single" w:color="000000" w:sz="4" w:space="0"/>
              <w:left w:val="single" w:color="000000" w:sz="4" w:space="0"/>
              <w:bottom w:val="single" w:color="000000" w:sz="4" w:space="0"/>
              <w:right w:val="single" w:color="auto" w:sz="4" w:space="0"/>
            </w:tcBorders>
            <w:shd w:val="clear" w:color="auto" w:fill="auto"/>
            <w:vAlign w:val="center"/>
          </w:tcPr>
          <w:p w14:paraId="0EA3F5C3">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泵站规模:</w:t>
            </w:r>
            <w:r>
              <w:rPr>
                <w:rFonts w:hint="default" w:ascii="Times New Roman" w:hAnsi="Times New Roman" w:cs="Times New Roman"/>
                <w:sz w:val="24"/>
              </w:rPr>
              <w:t>4800m</w:t>
            </w:r>
            <w:r>
              <w:rPr>
                <w:rFonts w:hint="default" w:ascii="Times New Roman" w:hAnsi="Times New Roman" w:cs="Times New Roman"/>
                <w:sz w:val="24"/>
                <w:vertAlign w:val="superscript"/>
              </w:rPr>
              <w:t>3</w:t>
            </w:r>
            <w:r>
              <w:rPr>
                <w:rFonts w:hint="default" w:ascii="Times New Roman" w:hAnsi="Times New Roman" w:cs="Times New Roman"/>
                <w:sz w:val="24"/>
              </w:rPr>
              <w:t>/d</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水泵数量:2台(一用一备)</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单泵流量:</w:t>
            </w:r>
            <w:r>
              <w:rPr>
                <w:rFonts w:hint="default" w:ascii="Times New Roman" w:hAnsi="Times New Roman" w:cs="Times New Roman"/>
                <w:sz w:val="24"/>
              </w:rPr>
              <w:t>380m</w:t>
            </w:r>
            <w:r>
              <w:rPr>
                <w:rFonts w:hint="default" w:ascii="Times New Roman" w:hAnsi="Times New Roman" w:cs="Times New Roman"/>
                <w:sz w:val="24"/>
                <w:vertAlign w:val="superscript"/>
              </w:rPr>
              <w:t>3</w:t>
            </w:r>
            <w:r>
              <w:rPr>
                <w:rFonts w:hint="default" w:ascii="Times New Roman" w:hAnsi="Times New Roman" w:cs="Times New Roman"/>
                <w:sz w:val="24"/>
              </w:rPr>
              <w:t>/h</w:t>
            </w:r>
            <w:r>
              <w:rPr>
                <w:rFonts w:hint="default" w:ascii="Times New Roman" w:hAnsi="Times New Roman" w:eastAsia="宋体" w:cs="Times New Roman"/>
                <w:i w:val="0"/>
                <w:iCs w:val="0"/>
                <w:color w:val="auto"/>
                <w:kern w:val="0"/>
                <w:sz w:val="22"/>
                <w:szCs w:val="22"/>
                <w:u w:val="none"/>
                <w:lang w:val="en-US" w:eastAsia="zh-CN" w:bidi="ar"/>
              </w:rPr>
              <w:t>扬程:24m</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筒体直径:</w:t>
            </w:r>
            <w:r>
              <w:rPr>
                <w:rFonts w:hint="default" w:ascii="Times New Roman" w:hAnsi="Times New Roman" w:cs="Times New Roman"/>
                <w:i w:val="0"/>
                <w:iCs w:val="0"/>
                <w:color w:val="auto"/>
                <w:kern w:val="0"/>
                <w:sz w:val="22"/>
                <w:szCs w:val="22"/>
                <w:u w:val="none"/>
                <w:lang w:val="en-US" w:eastAsia="zh-CN" w:bidi="ar"/>
              </w:rPr>
              <w:t>3</w:t>
            </w:r>
            <w:r>
              <w:rPr>
                <w:rFonts w:hint="default" w:ascii="Times New Roman" w:hAnsi="Times New Roman" w:eastAsia="宋体" w:cs="Times New Roman"/>
                <w:i w:val="0"/>
                <w:iCs w:val="0"/>
                <w:color w:val="auto"/>
                <w:kern w:val="0"/>
                <w:sz w:val="22"/>
                <w:szCs w:val="22"/>
                <w:u w:val="none"/>
                <w:lang w:val="en-US" w:eastAsia="zh-CN" w:bidi="ar"/>
              </w:rPr>
              <w:t xml:space="preserve">.0m </w:t>
            </w:r>
          </w:p>
          <w:p w14:paraId="3FCFAF80">
            <w:pPr>
              <w:pStyle w:val="2"/>
              <w:ind w:left="0" w:leftChars="0" w:firstLine="0" w:firstLineChars="0"/>
              <w:jc w:val="both"/>
              <w:rPr>
                <w:rFonts w:hint="default" w:ascii="Times New Roman" w:hAnsi="Times New Roman" w:cs="Times New Roman"/>
                <w:color w:val="auto"/>
              </w:rPr>
            </w:pPr>
            <w:r>
              <w:rPr>
                <w:rFonts w:hint="default" w:ascii="Times New Roman" w:hAnsi="Times New Roman" w:cs="Times New Roman"/>
                <w:i w:val="0"/>
                <w:iCs w:val="0"/>
                <w:color w:val="auto"/>
                <w:kern w:val="0"/>
                <w:sz w:val="22"/>
                <w:szCs w:val="22"/>
                <w:u w:val="none"/>
                <w:lang w:val="en-US" w:eastAsia="zh-CN" w:bidi="ar"/>
              </w:rPr>
              <w:t>包含控制信号系统（详见《泵站设计说明》四、控制与信号 章节）</w:t>
            </w:r>
          </w:p>
        </w:tc>
        <w:tc>
          <w:tcPr>
            <w:tcW w:w="766" w:type="dxa"/>
            <w:tcBorders>
              <w:top w:val="single" w:color="auto" w:sz="4" w:space="0"/>
              <w:left w:val="single" w:color="auto" w:sz="4" w:space="0"/>
              <w:bottom w:val="single" w:color="000000" w:sz="4" w:space="0"/>
              <w:right w:val="single" w:color="000000" w:sz="4" w:space="0"/>
            </w:tcBorders>
            <w:shd w:val="clear" w:color="auto" w:fill="auto"/>
            <w:vAlign w:val="center"/>
          </w:tcPr>
          <w:p w14:paraId="2FC6960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1座</w:t>
            </w:r>
          </w:p>
        </w:tc>
        <w:tc>
          <w:tcPr>
            <w:tcW w:w="1411" w:type="dxa"/>
            <w:vMerge w:val="restart"/>
            <w:tcBorders>
              <w:top w:val="single" w:color="auto" w:sz="4" w:space="0"/>
              <w:left w:val="single" w:color="000000" w:sz="4" w:space="0"/>
              <w:right w:val="single" w:color="auto" w:sz="4" w:space="0"/>
            </w:tcBorders>
            <w:shd w:val="clear" w:color="auto" w:fill="auto"/>
            <w:vAlign w:val="center"/>
          </w:tcPr>
          <w:p w14:paraId="301F1AEB">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2F4DD23B">
            <w:pPr>
              <w:jc w:val="center"/>
              <w:rPr>
                <w:rFonts w:hint="default" w:ascii="Times New Roman" w:hAnsi="Times New Roman" w:eastAsia="宋体" w:cs="Times New Roman"/>
                <w:i w:val="0"/>
                <w:iCs w:val="0"/>
                <w:color w:val="auto"/>
                <w:sz w:val="22"/>
                <w:szCs w:val="22"/>
                <w:u w:val="none"/>
              </w:rPr>
            </w:pPr>
          </w:p>
        </w:tc>
      </w:tr>
      <w:tr w14:paraId="11C6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550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2</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E5A17">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9FF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闸门</w:t>
            </w:r>
          </w:p>
        </w:tc>
        <w:tc>
          <w:tcPr>
            <w:tcW w:w="3734" w:type="dxa"/>
            <w:tcBorders>
              <w:top w:val="single" w:color="000000" w:sz="4" w:space="0"/>
              <w:left w:val="single" w:color="000000" w:sz="4" w:space="0"/>
              <w:bottom w:val="single" w:color="000000" w:sz="4" w:space="0"/>
              <w:right w:val="single" w:color="auto" w:sz="4" w:space="0"/>
            </w:tcBorders>
            <w:shd w:val="clear" w:color="auto" w:fill="auto"/>
            <w:vAlign w:val="center"/>
          </w:tcPr>
          <w:p w14:paraId="06795AAF">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SYZ-600 型暗杆闸门，铸铁镶铜圆闸</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门，闸门需双向承压，具体尺寸详闸</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门井大样图及泵站平面图说明。</w:t>
            </w:r>
          </w:p>
        </w:tc>
        <w:tc>
          <w:tcPr>
            <w:tcW w:w="766" w:type="dxa"/>
            <w:tcBorders>
              <w:top w:val="single" w:color="000000" w:sz="4" w:space="0"/>
              <w:left w:val="single" w:color="auto" w:sz="4" w:space="0"/>
              <w:bottom w:val="single" w:color="auto" w:sz="4" w:space="0"/>
              <w:right w:val="single" w:color="000000" w:sz="4" w:space="0"/>
            </w:tcBorders>
            <w:shd w:val="clear" w:color="auto" w:fill="auto"/>
            <w:vAlign w:val="center"/>
          </w:tcPr>
          <w:p w14:paraId="6345A45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1个</w:t>
            </w:r>
          </w:p>
        </w:tc>
        <w:tc>
          <w:tcPr>
            <w:tcW w:w="1411" w:type="dxa"/>
            <w:vMerge w:val="continue"/>
            <w:tcBorders>
              <w:left w:val="single" w:color="000000" w:sz="4" w:space="0"/>
              <w:bottom w:val="single" w:color="auto" w:sz="4" w:space="0"/>
              <w:right w:val="single" w:color="auto" w:sz="4" w:space="0"/>
            </w:tcBorders>
            <w:shd w:val="clear" w:color="auto" w:fill="auto"/>
            <w:vAlign w:val="center"/>
          </w:tcPr>
          <w:p w14:paraId="54873AE8">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751C727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闸门井内</w:t>
            </w:r>
          </w:p>
        </w:tc>
      </w:tr>
      <w:tr w14:paraId="1509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9AD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3</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B6DD1">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BE8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启闭机</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9745">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QDA 型螺杆式手电两用暗杆式启闭</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机，与闸门配套使用。要求启闭机可</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远程控制，并与潜污泵的信号相连。</w:t>
            </w:r>
          </w:p>
        </w:tc>
        <w:tc>
          <w:tcPr>
            <w:tcW w:w="766" w:type="dxa"/>
            <w:tcBorders>
              <w:top w:val="single" w:color="auto" w:sz="4" w:space="0"/>
              <w:left w:val="single" w:color="000000" w:sz="4" w:space="0"/>
              <w:bottom w:val="single" w:color="000000" w:sz="4" w:space="0"/>
              <w:right w:val="single" w:color="000000" w:sz="4" w:space="0"/>
            </w:tcBorders>
            <w:shd w:val="clear" w:color="auto" w:fill="auto"/>
            <w:vAlign w:val="center"/>
          </w:tcPr>
          <w:p w14:paraId="531D1DE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1个</w:t>
            </w:r>
          </w:p>
        </w:tc>
        <w:tc>
          <w:tcPr>
            <w:tcW w:w="1411"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097EB8DD">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1FA569A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闸门井内</w:t>
            </w:r>
          </w:p>
        </w:tc>
      </w:tr>
      <w:tr w14:paraId="560A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6DD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4</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99F6A">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CE5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可曲挠单球</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体橡胶接头</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7DCA">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DN450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E7B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2个</w:t>
            </w:r>
          </w:p>
        </w:tc>
        <w:tc>
          <w:tcPr>
            <w:tcW w:w="141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CFB6C08">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00857B3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阀门井内</w:t>
            </w:r>
          </w:p>
        </w:tc>
      </w:tr>
      <w:tr w14:paraId="27B95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E96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5</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D0E81">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471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闸阀</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2C99">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Z45T-10 DN450</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手电一体闸阀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62E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2个</w:t>
            </w:r>
          </w:p>
        </w:tc>
        <w:tc>
          <w:tcPr>
            <w:tcW w:w="141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6ED487E">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6CEF9A9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阀门井内</w:t>
            </w:r>
          </w:p>
        </w:tc>
      </w:tr>
      <w:tr w14:paraId="6FCD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9CF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6</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19A60">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E17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旋启式止回</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阀</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AAC3">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H44TX-10 DN450</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应选用符合现行标准《石油、石化及</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相关工业用钢制截止阀和升降式止回</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阀》GB/T12235的有关规定</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DDA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2个</w:t>
            </w:r>
          </w:p>
        </w:tc>
        <w:tc>
          <w:tcPr>
            <w:tcW w:w="141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71CCFFD">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513FD36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阀门井内</w:t>
            </w:r>
          </w:p>
        </w:tc>
      </w:tr>
      <w:tr w14:paraId="7CD1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D68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7</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0B97F">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720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提篮式格栅</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923A">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泵房进水前一检查井内设置提篮式格</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栅，用于拦截浮渣</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6A8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1个</w:t>
            </w:r>
          </w:p>
        </w:tc>
        <w:tc>
          <w:tcPr>
            <w:tcW w:w="141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5E05A48">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795A2965">
            <w:pPr>
              <w:jc w:val="center"/>
              <w:rPr>
                <w:rFonts w:hint="default" w:ascii="Times New Roman" w:hAnsi="Times New Roman" w:eastAsia="宋体" w:cs="Times New Roman"/>
                <w:i w:val="0"/>
                <w:iCs w:val="0"/>
                <w:color w:val="auto"/>
                <w:sz w:val="22"/>
                <w:szCs w:val="22"/>
                <w:u w:val="none"/>
              </w:rPr>
            </w:pPr>
          </w:p>
        </w:tc>
      </w:tr>
      <w:tr w14:paraId="73C72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85C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8</w:t>
            </w:r>
          </w:p>
        </w:tc>
        <w:tc>
          <w:tcPr>
            <w:tcW w:w="1181" w:type="dxa"/>
            <w:vMerge w:val="restart"/>
            <w:tcBorders>
              <w:top w:val="single" w:color="000000" w:sz="4" w:space="0"/>
              <w:left w:val="single" w:color="000000" w:sz="4" w:space="0"/>
              <w:right w:val="single" w:color="000000" w:sz="4" w:space="0"/>
            </w:tcBorders>
            <w:shd w:val="clear" w:color="auto" w:fill="auto"/>
            <w:vAlign w:val="center"/>
          </w:tcPr>
          <w:p w14:paraId="0D1DC36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杨寿镇总</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泵站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4F5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一体化泵站</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8756">
            <w:pPr>
              <w:keepNext w:val="0"/>
              <w:keepLines w:val="0"/>
              <w:widowControl/>
              <w:suppressLineNumbers w:val="0"/>
              <w:jc w:val="left"/>
              <w:textAlignment w:val="center"/>
              <w:rPr>
                <w:rStyle w:val="39"/>
                <w:rFonts w:hint="default" w:ascii="Times New Roman" w:hAnsi="Times New Roman" w:cs="Times New Roman"/>
                <w:color w:val="auto"/>
                <w:lang w:val="en-US" w:eastAsia="zh-CN" w:bidi="ar"/>
              </w:rPr>
            </w:pPr>
            <w:r>
              <w:rPr>
                <w:rStyle w:val="39"/>
                <w:rFonts w:hint="default" w:ascii="Times New Roman" w:hAnsi="Times New Roman" w:cs="Times New Roman"/>
                <w:color w:val="auto"/>
                <w:lang w:val="en-US" w:eastAsia="zh-CN" w:bidi="ar"/>
              </w:rPr>
              <w:t>泵站规模:</w:t>
            </w:r>
            <w:r>
              <w:rPr>
                <w:rFonts w:hint="default" w:ascii="Times New Roman" w:hAnsi="Times New Roman" w:cs="Times New Roman"/>
                <w:sz w:val="24"/>
              </w:rPr>
              <w:t>3000m</w:t>
            </w:r>
            <w:r>
              <w:rPr>
                <w:rFonts w:hint="default" w:ascii="Times New Roman" w:hAnsi="Times New Roman" w:cs="Times New Roman"/>
                <w:sz w:val="24"/>
                <w:vertAlign w:val="superscript"/>
              </w:rPr>
              <w:t>3</w:t>
            </w:r>
            <w:r>
              <w:rPr>
                <w:rFonts w:hint="default" w:ascii="Times New Roman" w:hAnsi="Times New Roman" w:cs="Times New Roman"/>
                <w:sz w:val="24"/>
              </w:rPr>
              <w:t>/d</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水泵数量:2台(一用一备)</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单泵流量:</w:t>
            </w:r>
            <w:r>
              <w:rPr>
                <w:rFonts w:hint="default" w:ascii="Times New Roman" w:hAnsi="Times New Roman" w:cs="Times New Roman"/>
                <w:sz w:val="24"/>
              </w:rPr>
              <w:t>240m</w:t>
            </w:r>
            <w:r>
              <w:rPr>
                <w:rFonts w:hint="default" w:ascii="Times New Roman" w:hAnsi="Times New Roman" w:cs="Times New Roman"/>
                <w:sz w:val="24"/>
                <w:vertAlign w:val="superscript"/>
              </w:rPr>
              <w:t>3</w:t>
            </w:r>
            <w:r>
              <w:rPr>
                <w:rFonts w:hint="default" w:ascii="Times New Roman" w:hAnsi="Times New Roman" w:cs="Times New Roman"/>
                <w:sz w:val="24"/>
              </w:rPr>
              <w:t>/h</w:t>
            </w:r>
            <w:r>
              <w:rPr>
                <w:rStyle w:val="39"/>
                <w:rFonts w:hint="default" w:ascii="Times New Roman" w:hAnsi="Times New Roman" w:cs="Times New Roman"/>
                <w:color w:val="auto"/>
                <w:lang w:val="en-US" w:eastAsia="zh-CN" w:bidi="ar"/>
              </w:rPr>
              <w:t>扬程:34m</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 xml:space="preserve">筒体直径:3.0m </w:t>
            </w:r>
          </w:p>
          <w:p w14:paraId="07403BBA">
            <w:pPr>
              <w:pStyle w:val="2"/>
              <w:ind w:left="0" w:leftChars="0" w:firstLine="0" w:firstLineChars="0"/>
              <w:rPr>
                <w:rFonts w:hint="default" w:ascii="Times New Roman" w:hAnsi="Times New Roman" w:cs="Times New Roman"/>
                <w:color w:val="auto"/>
              </w:rPr>
            </w:pPr>
            <w:r>
              <w:rPr>
                <w:rFonts w:hint="default" w:ascii="Times New Roman" w:hAnsi="Times New Roman" w:cs="Times New Roman"/>
                <w:i w:val="0"/>
                <w:iCs w:val="0"/>
                <w:color w:val="auto"/>
                <w:kern w:val="0"/>
                <w:sz w:val="22"/>
                <w:szCs w:val="22"/>
                <w:u w:val="none"/>
                <w:lang w:val="en-US" w:eastAsia="zh-CN" w:bidi="ar"/>
              </w:rPr>
              <w:t>包含控制信号系统（详见《泵站设计说明》四、控制与信号 章节）</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0B8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1座</w:t>
            </w:r>
          </w:p>
        </w:tc>
        <w:tc>
          <w:tcPr>
            <w:tcW w:w="1411" w:type="dxa"/>
            <w:vMerge w:val="restart"/>
            <w:tcBorders>
              <w:top w:val="single" w:color="000000" w:sz="4" w:space="0"/>
              <w:left w:val="single" w:color="000000" w:sz="4" w:space="0"/>
              <w:right w:val="single" w:color="000000" w:sz="4" w:space="0"/>
            </w:tcBorders>
            <w:shd w:val="clear" w:color="auto" w:fill="auto"/>
            <w:vAlign w:val="center"/>
          </w:tcPr>
          <w:p w14:paraId="755F97CE">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8744">
            <w:pPr>
              <w:jc w:val="center"/>
              <w:rPr>
                <w:rFonts w:hint="default" w:ascii="Times New Roman" w:hAnsi="Times New Roman" w:eastAsia="宋体" w:cs="Times New Roman"/>
                <w:i w:val="0"/>
                <w:iCs w:val="0"/>
                <w:color w:val="auto"/>
                <w:sz w:val="22"/>
                <w:szCs w:val="22"/>
                <w:u w:val="none"/>
              </w:rPr>
            </w:pPr>
          </w:p>
        </w:tc>
      </w:tr>
      <w:tr w14:paraId="59F2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217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9</w:t>
            </w:r>
          </w:p>
        </w:tc>
        <w:tc>
          <w:tcPr>
            <w:tcW w:w="1181" w:type="dxa"/>
            <w:vMerge w:val="continue"/>
            <w:tcBorders>
              <w:left w:val="single" w:color="000000" w:sz="4" w:space="0"/>
              <w:right w:val="single" w:color="000000" w:sz="4" w:space="0"/>
            </w:tcBorders>
            <w:shd w:val="clear" w:color="auto" w:fill="auto"/>
            <w:vAlign w:val="center"/>
          </w:tcPr>
          <w:p w14:paraId="3F32F8C7">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FD8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闸门</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1479">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SYZ-600 型暗杆闸门，铸铁镶铜圆闸</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门，闸门需双向承压，具体尺寸详闸</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门井大样图及泵站平面图说明。</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A3B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1个</w:t>
            </w:r>
          </w:p>
        </w:tc>
        <w:tc>
          <w:tcPr>
            <w:tcW w:w="1411" w:type="dxa"/>
            <w:vMerge w:val="continue"/>
            <w:tcBorders>
              <w:left w:val="single" w:color="000000" w:sz="4" w:space="0"/>
              <w:right w:val="single" w:color="000000" w:sz="4" w:space="0"/>
            </w:tcBorders>
            <w:shd w:val="clear" w:color="auto" w:fill="auto"/>
            <w:vAlign w:val="center"/>
          </w:tcPr>
          <w:p w14:paraId="56BEAF9B">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0AB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闸门井内</w:t>
            </w:r>
          </w:p>
        </w:tc>
      </w:tr>
      <w:tr w14:paraId="349F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6FE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10</w:t>
            </w:r>
          </w:p>
        </w:tc>
        <w:tc>
          <w:tcPr>
            <w:tcW w:w="1181" w:type="dxa"/>
            <w:vMerge w:val="continue"/>
            <w:tcBorders>
              <w:left w:val="single" w:color="000000" w:sz="4" w:space="0"/>
              <w:right w:val="single" w:color="000000" w:sz="4" w:space="0"/>
            </w:tcBorders>
            <w:shd w:val="clear" w:color="auto" w:fill="auto"/>
            <w:vAlign w:val="center"/>
          </w:tcPr>
          <w:p w14:paraId="23E1474F">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88A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启闭机</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6DF4">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QDA 型螺杆式手电两用暗杆式启闭</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机，与闸门配套使用。要求启闭机可</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远程控制，并与潜污泵的信号相连。</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0A2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1个</w:t>
            </w:r>
          </w:p>
        </w:tc>
        <w:tc>
          <w:tcPr>
            <w:tcW w:w="1411" w:type="dxa"/>
            <w:vMerge w:val="continue"/>
            <w:tcBorders>
              <w:left w:val="single" w:color="000000" w:sz="4" w:space="0"/>
              <w:right w:val="single" w:color="000000" w:sz="4" w:space="0"/>
            </w:tcBorders>
            <w:shd w:val="clear" w:color="auto" w:fill="auto"/>
            <w:vAlign w:val="center"/>
          </w:tcPr>
          <w:p w14:paraId="12EC18D6">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97E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闸门井内</w:t>
            </w:r>
          </w:p>
        </w:tc>
      </w:tr>
      <w:tr w14:paraId="7A62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4C0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11</w:t>
            </w:r>
          </w:p>
        </w:tc>
        <w:tc>
          <w:tcPr>
            <w:tcW w:w="1181" w:type="dxa"/>
            <w:vMerge w:val="continue"/>
            <w:tcBorders>
              <w:left w:val="single" w:color="000000" w:sz="4" w:space="0"/>
              <w:right w:val="single" w:color="000000" w:sz="4" w:space="0"/>
            </w:tcBorders>
            <w:shd w:val="clear" w:color="auto" w:fill="auto"/>
            <w:vAlign w:val="center"/>
          </w:tcPr>
          <w:p w14:paraId="5C614FDE">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12E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可曲挠单球</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体橡胶接头</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7121">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DN350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8BE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2个</w:t>
            </w:r>
          </w:p>
        </w:tc>
        <w:tc>
          <w:tcPr>
            <w:tcW w:w="1411" w:type="dxa"/>
            <w:vMerge w:val="continue"/>
            <w:tcBorders>
              <w:left w:val="single" w:color="000000" w:sz="4" w:space="0"/>
              <w:right w:val="single" w:color="000000" w:sz="4" w:space="0"/>
            </w:tcBorders>
            <w:shd w:val="clear" w:color="auto" w:fill="auto"/>
            <w:vAlign w:val="center"/>
          </w:tcPr>
          <w:p w14:paraId="43324908">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6DD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阀门井内</w:t>
            </w:r>
          </w:p>
        </w:tc>
      </w:tr>
      <w:tr w14:paraId="7AE1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5D8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12</w:t>
            </w:r>
          </w:p>
        </w:tc>
        <w:tc>
          <w:tcPr>
            <w:tcW w:w="1181" w:type="dxa"/>
            <w:vMerge w:val="continue"/>
            <w:tcBorders>
              <w:left w:val="single" w:color="000000" w:sz="4" w:space="0"/>
              <w:right w:val="single" w:color="000000" w:sz="4" w:space="0"/>
            </w:tcBorders>
            <w:shd w:val="clear" w:color="auto" w:fill="auto"/>
            <w:vAlign w:val="center"/>
          </w:tcPr>
          <w:p w14:paraId="6FE08361">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08B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闸阀</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623A">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Z45T-10 DN350</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手电一体闸阀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83D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2个</w:t>
            </w:r>
          </w:p>
        </w:tc>
        <w:tc>
          <w:tcPr>
            <w:tcW w:w="1411" w:type="dxa"/>
            <w:vMerge w:val="continue"/>
            <w:tcBorders>
              <w:left w:val="single" w:color="000000" w:sz="4" w:space="0"/>
              <w:right w:val="single" w:color="000000" w:sz="4" w:space="0"/>
            </w:tcBorders>
            <w:shd w:val="clear" w:color="auto" w:fill="auto"/>
            <w:vAlign w:val="center"/>
          </w:tcPr>
          <w:p w14:paraId="6C06D6A4">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43F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阀门井内</w:t>
            </w:r>
          </w:p>
        </w:tc>
      </w:tr>
      <w:tr w14:paraId="2408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31C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13</w:t>
            </w:r>
          </w:p>
        </w:tc>
        <w:tc>
          <w:tcPr>
            <w:tcW w:w="1181" w:type="dxa"/>
            <w:vMerge w:val="continue"/>
            <w:tcBorders>
              <w:left w:val="single" w:color="000000" w:sz="4" w:space="0"/>
              <w:right w:val="single" w:color="000000" w:sz="4" w:space="0"/>
            </w:tcBorders>
            <w:shd w:val="clear" w:color="auto" w:fill="auto"/>
            <w:vAlign w:val="center"/>
          </w:tcPr>
          <w:p w14:paraId="6E92520F">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922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旋启式止回</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阀</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A444">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H44TX-10 DN350</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应选用符合现行标准《石油、石化及</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相关工业用钢制截止阀和升降式止回</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阀》GB/T 12235的有关规定</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32E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2个</w:t>
            </w:r>
          </w:p>
        </w:tc>
        <w:tc>
          <w:tcPr>
            <w:tcW w:w="1411" w:type="dxa"/>
            <w:vMerge w:val="continue"/>
            <w:tcBorders>
              <w:left w:val="single" w:color="000000" w:sz="4" w:space="0"/>
              <w:right w:val="single" w:color="000000" w:sz="4" w:space="0"/>
            </w:tcBorders>
            <w:shd w:val="clear" w:color="auto" w:fill="auto"/>
            <w:vAlign w:val="center"/>
          </w:tcPr>
          <w:p w14:paraId="6CC57373">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410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阀门井内</w:t>
            </w:r>
          </w:p>
        </w:tc>
      </w:tr>
      <w:tr w14:paraId="33A8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B9D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14</w:t>
            </w:r>
          </w:p>
        </w:tc>
        <w:tc>
          <w:tcPr>
            <w:tcW w:w="1181" w:type="dxa"/>
            <w:vMerge w:val="continue"/>
            <w:tcBorders>
              <w:left w:val="single" w:color="000000" w:sz="4" w:space="0"/>
              <w:bottom w:val="single" w:color="000000" w:sz="4" w:space="0"/>
              <w:right w:val="single" w:color="000000" w:sz="4" w:space="0"/>
            </w:tcBorders>
            <w:shd w:val="clear" w:color="auto" w:fill="auto"/>
            <w:vAlign w:val="center"/>
          </w:tcPr>
          <w:p w14:paraId="24B78916">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4F9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提篮式格栅</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2A3B">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泵房进水前一检查井内设置提篮式格</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栅，用于拦截浮渣</w:t>
            </w:r>
          </w:p>
        </w:tc>
        <w:tc>
          <w:tcPr>
            <w:tcW w:w="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22A35F5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1个</w:t>
            </w:r>
          </w:p>
        </w:tc>
        <w:tc>
          <w:tcPr>
            <w:tcW w:w="1411" w:type="dxa"/>
            <w:vMerge w:val="continue"/>
            <w:tcBorders>
              <w:left w:val="single" w:color="000000" w:sz="4" w:space="0"/>
              <w:bottom w:val="single" w:color="auto" w:sz="4" w:space="0"/>
              <w:right w:val="single" w:color="000000" w:sz="4" w:space="0"/>
            </w:tcBorders>
            <w:shd w:val="clear" w:color="auto" w:fill="auto"/>
            <w:noWrap/>
            <w:vAlign w:val="center"/>
          </w:tcPr>
          <w:p w14:paraId="0F743D3E">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39F1">
            <w:pPr>
              <w:jc w:val="center"/>
              <w:rPr>
                <w:rFonts w:hint="default" w:ascii="Times New Roman" w:hAnsi="Times New Roman" w:eastAsia="宋体" w:cs="Times New Roman"/>
                <w:i w:val="0"/>
                <w:iCs w:val="0"/>
                <w:color w:val="auto"/>
                <w:sz w:val="22"/>
                <w:szCs w:val="22"/>
                <w:u w:val="none"/>
              </w:rPr>
            </w:pPr>
          </w:p>
        </w:tc>
      </w:tr>
      <w:tr w14:paraId="5B233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D85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15</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4C8C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杨寿中途</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增压泵站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035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一体化泵站</w:t>
            </w:r>
          </w:p>
        </w:tc>
        <w:tc>
          <w:tcPr>
            <w:tcW w:w="3734" w:type="dxa"/>
            <w:tcBorders>
              <w:top w:val="single" w:color="000000" w:sz="4" w:space="0"/>
              <w:left w:val="single" w:color="000000" w:sz="4" w:space="0"/>
              <w:bottom w:val="single" w:color="000000" w:sz="4" w:space="0"/>
              <w:right w:val="single" w:color="auto" w:sz="4" w:space="0"/>
            </w:tcBorders>
            <w:shd w:val="clear" w:color="auto" w:fill="auto"/>
            <w:vAlign w:val="center"/>
          </w:tcPr>
          <w:p w14:paraId="4F4351DA">
            <w:pPr>
              <w:keepNext w:val="0"/>
              <w:keepLines w:val="0"/>
              <w:widowControl/>
              <w:suppressLineNumbers w:val="0"/>
              <w:jc w:val="left"/>
              <w:textAlignment w:val="center"/>
              <w:rPr>
                <w:rStyle w:val="39"/>
                <w:rFonts w:hint="default" w:ascii="Times New Roman" w:hAnsi="Times New Roman" w:cs="Times New Roman"/>
                <w:color w:val="auto"/>
                <w:lang w:val="en-US" w:eastAsia="zh-CN" w:bidi="ar"/>
              </w:rPr>
            </w:pPr>
            <w:r>
              <w:rPr>
                <w:rStyle w:val="39"/>
                <w:rFonts w:hint="default" w:ascii="Times New Roman" w:hAnsi="Times New Roman" w:cs="Times New Roman"/>
                <w:color w:val="auto"/>
                <w:lang w:val="en-US" w:eastAsia="zh-CN" w:bidi="ar"/>
              </w:rPr>
              <w:t>泵站规模:</w:t>
            </w:r>
            <w:r>
              <w:rPr>
                <w:rFonts w:hint="default" w:ascii="Times New Roman" w:hAnsi="Times New Roman" w:cs="Times New Roman"/>
                <w:sz w:val="24"/>
              </w:rPr>
              <w:t>3000m</w:t>
            </w:r>
            <w:r>
              <w:rPr>
                <w:rFonts w:hint="default" w:ascii="Times New Roman" w:hAnsi="Times New Roman" w:cs="Times New Roman"/>
                <w:sz w:val="24"/>
                <w:vertAlign w:val="superscript"/>
              </w:rPr>
              <w:t>3</w:t>
            </w:r>
            <w:r>
              <w:rPr>
                <w:rFonts w:hint="default" w:ascii="Times New Roman" w:hAnsi="Times New Roman" w:cs="Times New Roman"/>
                <w:sz w:val="24"/>
              </w:rPr>
              <w:t>/d</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水泵数量:2台(一用一备)</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单泵流量:</w:t>
            </w:r>
            <w:r>
              <w:rPr>
                <w:rFonts w:hint="default" w:ascii="Times New Roman" w:hAnsi="Times New Roman" w:cs="Times New Roman"/>
                <w:sz w:val="24"/>
              </w:rPr>
              <w:t>240m</w:t>
            </w:r>
            <w:r>
              <w:rPr>
                <w:rFonts w:hint="default" w:ascii="Times New Roman" w:hAnsi="Times New Roman" w:cs="Times New Roman"/>
                <w:sz w:val="24"/>
                <w:vertAlign w:val="superscript"/>
              </w:rPr>
              <w:t>3</w:t>
            </w:r>
            <w:r>
              <w:rPr>
                <w:rFonts w:hint="default" w:ascii="Times New Roman" w:hAnsi="Times New Roman" w:cs="Times New Roman"/>
                <w:sz w:val="24"/>
              </w:rPr>
              <w:t>/h</w:t>
            </w:r>
            <w:r>
              <w:rPr>
                <w:rStyle w:val="39"/>
                <w:rFonts w:hint="default" w:ascii="Times New Roman" w:hAnsi="Times New Roman" w:cs="Times New Roman"/>
                <w:color w:val="auto"/>
                <w:lang w:val="en-US" w:eastAsia="zh-CN" w:bidi="ar"/>
              </w:rPr>
              <w:t xml:space="preserve"> 扬程:34m</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 xml:space="preserve">简体直径:4.0m </w:t>
            </w:r>
          </w:p>
          <w:p w14:paraId="2EF06F60">
            <w:pPr>
              <w:pStyle w:val="2"/>
              <w:ind w:left="0" w:leftChars="0" w:firstLine="0" w:firstLineChars="0"/>
              <w:rPr>
                <w:rFonts w:hint="default" w:ascii="Times New Roman" w:hAnsi="Times New Roman" w:cs="Times New Roman"/>
                <w:color w:val="auto"/>
              </w:rPr>
            </w:pPr>
            <w:r>
              <w:rPr>
                <w:rFonts w:hint="default" w:ascii="Times New Roman" w:hAnsi="Times New Roman" w:cs="Times New Roman"/>
                <w:i w:val="0"/>
                <w:iCs w:val="0"/>
                <w:color w:val="auto"/>
                <w:kern w:val="0"/>
                <w:sz w:val="22"/>
                <w:szCs w:val="22"/>
                <w:u w:val="none"/>
                <w:lang w:val="en-US" w:eastAsia="zh-CN" w:bidi="ar"/>
              </w:rPr>
              <w:t>包含控制信号系统（详见《泵站设计说明》四、控制与信号 章节）</w:t>
            </w:r>
          </w:p>
        </w:tc>
        <w:tc>
          <w:tcPr>
            <w:tcW w:w="766" w:type="dxa"/>
            <w:tcBorders>
              <w:top w:val="single" w:color="auto" w:sz="4" w:space="0"/>
              <w:left w:val="single" w:color="auto" w:sz="4" w:space="0"/>
              <w:bottom w:val="single" w:color="auto" w:sz="4" w:space="0"/>
              <w:right w:val="single" w:color="000000" w:sz="4" w:space="0"/>
            </w:tcBorders>
            <w:shd w:val="clear" w:color="auto" w:fill="auto"/>
            <w:vAlign w:val="center"/>
          </w:tcPr>
          <w:p w14:paraId="6B806F6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1座</w:t>
            </w:r>
          </w:p>
        </w:tc>
        <w:tc>
          <w:tcPr>
            <w:tcW w:w="1411" w:type="dxa"/>
            <w:vMerge w:val="restart"/>
            <w:tcBorders>
              <w:top w:val="single" w:color="auto" w:sz="4" w:space="0"/>
              <w:left w:val="single" w:color="000000" w:sz="4" w:space="0"/>
              <w:bottom w:val="single" w:color="auto" w:sz="4" w:space="0"/>
              <w:right w:val="single" w:color="auto" w:sz="4" w:space="0"/>
            </w:tcBorders>
            <w:shd w:val="clear" w:color="auto" w:fill="auto"/>
            <w:noWrap/>
            <w:vAlign w:val="center"/>
          </w:tcPr>
          <w:p w14:paraId="2EFABC83">
            <w:pPr>
              <w:rPr>
                <w:rFonts w:hint="eastAsia" w:ascii="Times New Roman" w:hAnsi="Times New Roman" w:eastAsia="宋体" w:cs="Times New Roman"/>
                <w:i w:val="0"/>
                <w:iCs w:val="0"/>
                <w:color w:val="auto"/>
                <w:sz w:val="22"/>
                <w:szCs w:val="22"/>
                <w:u w:val="none"/>
                <w:lang w:val="en-US" w:eastAsia="zh-CN"/>
              </w:rPr>
            </w:pPr>
            <w:r>
              <w:rPr>
                <w:rFonts w:hint="eastAsia" w:ascii="Times New Roman" w:hAnsi="Times New Roman" w:cs="Times New Roman"/>
                <w:i w:val="0"/>
                <w:iCs w:val="0"/>
                <w:color w:val="auto"/>
                <w:sz w:val="22"/>
                <w:szCs w:val="22"/>
                <w:u w:val="none"/>
                <w:lang w:val="en-US" w:eastAsia="zh-CN"/>
              </w:rPr>
              <w:t xml:space="preserve"> </w:t>
            </w: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4E794E3B">
            <w:pPr>
              <w:jc w:val="center"/>
              <w:rPr>
                <w:rFonts w:hint="default" w:ascii="Times New Roman" w:hAnsi="Times New Roman" w:eastAsia="宋体" w:cs="Times New Roman"/>
                <w:i w:val="0"/>
                <w:iCs w:val="0"/>
                <w:color w:val="auto"/>
                <w:sz w:val="22"/>
                <w:szCs w:val="22"/>
                <w:u w:val="none"/>
              </w:rPr>
            </w:pPr>
          </w:p>
        </w:tc>
      </w:tr>
      <w:tr w14:paraId="347D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47B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16</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54BFD">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F13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闸门</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9783">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SYZ-600 型暗杆闸门，铸铁镶铜圆闸</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门，闸门需双向承压，具体尺寸详闸</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门井大样图及泵站平面图说明。</w:t>
            </w:r>
          </w:p>
        </w:tc>
        <w:tc>
          <w:tcPr>
            <w:tcW w:w="766" w:type="dxa"/>
            <w:tcBorders>
              <w:top w:val="single" w:color="auto" w:sz="4" w:space="0"/>
              <w:left w:val="single" w:color="000000" w:sz="4" w:space="0"/>
              <w:bottom w:val="single" w:color="000000" w:sz="4" w:space="0"/>
              <w:right w:val="single" w:color="000000" w:sz="4" w:space="0"/>
            </w:tcBorders>
            <w:shd w:val="clear" w:color="auto" w:fill="auto"/>
            <w:vAlign w:val="center"/>
          </w:tcPr>
          <w:p w14:paraId="281E4AF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1个</w:t>
            </w:r>
          </w:p>
        </w:tc>
        <w:tc>
          <w:tcPr>
            <w:tcW w:w="1411" w:type="dxa"/>
            <w:vMerge w:val="continue"/>
            <w:tcBorders>
              <w:top w:val="single" w:color="auto" w:sz="4" w:space="0"/>
              <w:left w:val="single" w:color="000000" w:sz="4" w:space="0"/>
              <w:right w:val="single" w:color="auto" w:sz="4" w:space="0"/>
            </w:tcBorders>
            <w:shd w:val="clear" w:color="auto" w:fill="auto"/>
            <w:noWrap/>
            <w:vAlign w:val="center"/>
          </w:tcPr>
          <w:p w14:paraId="02CD1610">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3B078BF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闸门井内</w:t>
            </w:r>
          </w:p>
        </w:tc>
      </w:tr>
      <w:tr w14:paraId="59E8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EC2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17</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BE6D6">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3DA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启闭机</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5FA3">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QDA 型螺杆式手电两用暗杆式启闭</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机，与闸门配套使用。要求启闭机可</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远程控制，并与潜污泵的信号相连。</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772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1个</w:t>
            </w:r>
          </w:p>
        </w:tc>
        <w:tc>
          <w:tcPr>
            <w:tcW w:w="1411" w:type="dxa"/>
            <w:vMerge w:val="continue"/>
            <w:tcBorders>
              <w:left w:val="single" w:color="000000" w:sz="4" w:space="0"/>
              <w:bottom w:val="single" w:color="000000" w:sz="4" w:space="0"/>
              <w:right w:val="single" w:color="auto" w:sz="4" w:space="0"/>
            </w:tcBorders>
            <w:shd w:val="clear" w:color="auto" w:fill="auto"/>
            <w:noWrap/>
            <w:vAlign w:val="center"/>
          </w:tcPr>
          <w:p w14:paraId="05797975">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76FA3FD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闸门井内</w:t>
            </w:r>
          </w:p>
        </w:tc>
      </w:tr>
      <w:tr w14:paraId="6D352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14C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18</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9A7D1">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BEC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可曲挠单球</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体橡胶接头</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E093">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DN350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3F2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2个</w:t>
            </w:r>
          </w:p>
        </w:tc>
        <w:tc>
          <w:tcPr>
            <w:tcW w:w="1411"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AA9C284">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54CD992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阀门井内</w:t>
            </w:r>
          </w:p>
        </w:tc>
      </w:tr>
      <w:tr w14:paraId="56CA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22A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19</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82E4A">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0C6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闸阀</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6C30">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Z45T-10 DN350</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手电一体闸阀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748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2个</w:t>
            </w:r>
          </w:p>
        </w:tc>
        <w:tc>
          <w:tcPr>
            <w:tcW w:w="1411"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A1B51CC">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7D1114B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阀门井内</w:t>
            </w:r>
          </w:p>
        </w:tc>
      </w:tr>
      <w:tr w14:paraId="5A57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401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20</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BFCE6">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9CA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旋启式止回</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阀</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8952">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H44TX-10DN350</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应选用符合现行标准《石油、石化及</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相关工业用钢制截止阀和升降式止回</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阀》GB/T 12235的有关规定</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205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2个</w:t>
            </w:r>
          </w:p>
        </w:tc>
        <w:tc>
          <w:tcPr>
            <w:tcW w:w="1411"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3B88FA94">
            <w:pP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6B8DA44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阀门井内</w:t>
            </w:r>
          </w:p>
        </w:tc>
      </w:tr>
      <w:tr w14:paraId="4236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F13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21</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62647">
            <w:pPr>
              <w:jc w:val="center"/>
              <w:rPr>
                <w:rFonts w:hint="default" w:ascii="Times New Roman" w:hAnsi="Times New Roman" w:eastAsia="宋体" w:cs="Times New Roman"/>
                <w:i w:val="0"/>
                <w:iCs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AFA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提篮式格栅</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98EA">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泵房进水前一检查井内设置提篮式格</w:t>
            </w:r>
            <w:r>
              <w:rPr>
                <w:rStyle w:val="39"/>
                <w:rFonts w:hint="default" w:ascii="Times New Roman" w:hAnsi="Times New Roman" w:cs="Times New Roman"/>
                <w:color w:val="auto"/>
                <w:lang w:val="en-US" w:eastAsia="zh-CN" w:bidi="ar"/>
              </w:rPr>
              <w:br w:type="textWrapping"/>
            </w:r>
            <w:r>
              <w:rPr>
                <w:rStyle w:val="39"/>
                <w:rFonts w:hint="default" w:ascii="Times New Roman" w:hAnsi="Times New Roman" w:cs="Times New Roman"/>
                <w:color w:val="auto"/>
                <w:lang w:val="en-US" w:eastAsia="zh-CN" w:bidi="ar"/>
              </w:rPr>
              <w:t>栅，用于拦截浮渣</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686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39"/>
                <w:rFonts w:hint="default" w:ascii="Times New Roman" w:hAnsi="Times New Roman" w:cs="Times New Roman"/>
                <w:color w:val="auto"/>
                <w:lang w:val="en-US" w:eastAsia="zh-CN" w:bidi="ar"/>
              </w:rPr>
              <w:t>1个</w:t>
            </w:r>
          </w:p>
        </w:tc>
        <w:tc>
          <w:tcPr>
            <w:tcW w:w="141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EA80E55">
            <w:pPr>
              <w:jc w:val="center"/>
              <w:rPr>
                <w:rFonts w:hint="default" w:ascii="Times New Roman" w:hAnsi="Times New Roman" w:eastAsia="宋体" w:cs="Times New Roman"/>
                <w:i w:val="0"/>
                <w:iCs w:val="0"/>
                <w:color w:val="auto"/>
                <w:sz w:val="22"/>
                <w:szCs w:val="22"/>
                <w:u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8E0E0EF">
            <w:pPr>
              <w:rPr>
                <w:rFonts w:hint="default" w:ascii="Times New Roman" w:hAnsi="Times New Roman" w:eastAsia="宋体" w:cs="Times New Roman"/>
                <w:i w:val="0"/>
                <w:iCs w:val="0"/>
                <w:color w:val="auto"/>
                <w:sz w:val="22"/>
                <w:szCs w:val="22"/>
                <w:u w:val="none"/>
              </w:rPr>
            </w:pPr>
          </w:p>
        </w:tc>
      </w:tr>
      <w:tr w14:paraId="1319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80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71D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合计（元）：</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D9E1">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1000000.00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4AAB">
            <w:pPr>
              <w:rPr>
                <w:rFonts w:hint="default" w:ascii="Times New Roman" w:hAnsi="Times New Roman" w:eastAsia="宋体" w:cs="Times New Roman"/>
                <w:i w:val="0"/>
                <w:iCs w:val="0"/>
                <w:color w:val="auto"/>
                <w:sz w:val="22"/>
                <w:szCs w:val="22"/>
                <w:u w:val="none"/>
              </w:rPr>
            </w:pPr>
          </w:p>
        </w:tc>
      </w:tr>
    </w:tbl>
    <w:p w14:paraId="3384BF4C">
      <w:pPr>
        <w:spacing w:line="360" w:lineRule="auto"/>
        <w:rPr>
          <w:rFonts w:hint="eastAsia"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注</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此清单为设备主要材料，设备材料包括但不仅限于此清单内容，</w:t>
      </w:r>
      <w:r>
        <w:rPr>
          <w:rFonts w:hint="eastAsia" w:ascii="宋体" w:hAnsi="宋体" w:eastAsia="宋体" w:cs="宋体"/>
          <w:b/>
          <w:bCs/>
          <w:color w:val="auto"/>
          <w:szCs w:val="21"/>
          <w:highlight w:val="none"/>
          <w:lang w:val="en-US" w:eastAsia="zh-CN"/>
        </w:rPr>
        <w:t>详细要求以附件为准</w:t>
      </w:r>
      <w:r>
        <w:rPr>
          <w:rFonts w:hint="eastAsia" w:ascii="宋体" w:hAnsi="宋体" w:cs="宋体"/>
          <w:b/>
          <w:bCs/>
          <w:color w:val="auto"/>
          <w:szCs w:val="21"/>
          <w:highlight w:val="none"/>
          <w:lang w:val="en-US" w:eastAsia="zh-CN"/>
        </w:rPr>
        <w:t>。</w:t>
      </w:r>
    </w:p>
    <w:p w14:paraId="50E7465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筒</w:t>
      </w:r>
      <w:r>
        <w:rPr>
          <w:rFonts w:hint="eastAsia" w:ascii="宋体" w:hAnsi="宋体" w:eastAsia="宋体" w:cs="宋体"/>
          <w:color w:val="auto"/>
          <w:szCs w:val="21"/>
          <w:highlight w:val="none"/>
        </w:rPr>
        <w:t>径</w:t>
      </w:r>
      <w:r>
        <w:rPr>
          <w:rFonts w:hint="eastAsia" w:ascii="宋体" w:hAnsi="宋体" w:eastAsia="宋体" w:cs="宋体"/>
          <w:color w:val="auto"/>
          <w:szCs w:val="21"/>
          <w:highlight w:val="none"/>
          <w:lang w:eastAsia="zh-CN"/>
        </w:rPr>
        <w:t>、泵站型号为参考，需由投标人深化设计。</w:t>
      </w:r>
    </w:p>
    <w:p w14:paraId="5213ACA9">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结算方式：</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材料单价（含</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税）*对应材料数量=结算总价（含</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税）</w:t>
      </w:r>
    </w:p>
    <w:p w14:paraId="353A1603">
      <w:pPr>
        <w:spacing w:line="360" w:lineRule="auto"/>
        <w:ind w:firstLine="406" w:firstLineChars="200"/>
        <w:rPr>
          <w:rFonts w:hint="eastAsia"/>
          <w:i w:val="0"/>
          <w:iCs w:val="0"/>
          <w:color w:val="auto"/>
          <w:spacing w:val="2"/>
          <w:sz w:val="21"/>
          <w:szCs w:val="21"/>
          <w:highlight w:val="none"/>
          <w:u w:val="none"/>
          <w:lang w:eastAsia="zh-CN"/>
        </w:rPr>
      </w:pPr>
      <w:r>
        <w:rPr>
          <w:rFonts w:hint="eastAsia"/>
          <w:b/>
          <w:bCs/>
          <w:color w:val="auto"/>
          <w:spacing w:val="-4"/>
          <w:sz w:val="21"/>
          <w:szCs w:val="21"/>
          <w:highlight w:val="none"/>
          <w:lang w:eastAsia="zh-CN"/>
        </w:rPr>
        <w:t>三、泵站</w:t>
      </w:r>
      <w:r>
        <w:rPr>
          <w:rFonts w:hint="eastAsia"/>
          <w:b/>
          <w:bCs/>
          <w:color w:val="auto"/>
          <w:spacing w:val="-4"/>
          <w:sz w:val="21"/>
          <w:szCs w:val="21"/>
          <w:highlight w:val="none"/>
          <w:lang w:val="en-US" w:eastAsia="zh-CN"/>
        </w:rPr>
        <w:t>要求</w:t>
      </w:r>
    </w:p>
    <w:p w14:paraId="74F44A77">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质保期：自项目验收交付之日起提供</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年质量保证期（若国家和/或生产厂家对本项目所涉及货物的质量保证期的规定高于本项目的要求，应按国家和/或生产厂家的规定执行）。 </w:t>
      </w:r>
    </w:p>
    <w:p w14:paraId="1BC57B76">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投标人须承诺提供的货物均为所投品牌的原厂新货，技术指标及性能符合国家强制标准。维保期内，因设备制造原因出现的任何质量问题，中标供应商应负责更换或维修，由此产生的一切费用由中标供应商承担。 </w:t>
      </w:r>
    </w:p>
    <w:p w14:paraId="0D804323">
      <w:pPr>
        <w:pStyle w:val="32"/>
        <w:adjustRightInd w:val="0"/>
        <w:snapToGrid w:val="0"/>
        <w:spacing w:before="143" w:line="400" w:lineRule="exact"/>
        <w:ind w:left="24" w:right="57" w:firstLine="420"/>
        <w:rPr>
          <w:color w:val="auto"/>
          <w:spacing w:val="2"/>
          <w:sz w:val="21"/>
          <w:szCs w:val="21"/>
          <w:highlight w:val="none"/>
          <w:lang w:eastAsia="zh-CN"/>
        </w:rPr>
      </w:pPr>
      <w:r>
        <w:rPr>
          <w:rFonts w:hint="eastAsia"/>
          <w:color w:val="auto"/>
          <w:spacing w:val="2"/>
          <w:sz w:val="21"/>
          <w:szCs w:val="21"/>
          <w:highlight w:val="none"/>
          <w:lang w:val="en-US" w:eastAsia="zh-CN"/>
        </w:rPr>
        <w:t>3、</w:t>
      </w:r>
      <w:r>
        <w:rPr>
          <w:rFonts w:hint="eastAsia"/>
          <w:color w:val="auto"/>
          <w:spacing w:val="2"/>
          <w:sz w:val="21"/>
          <w:szCs w:val="21"/>
          <w:highlight w:val="none"/>
          <w:lang w:eastAsia="zh-CN"/>
        </w:rPr>
        <w:t>中标</w:t>
      </w:r>
      <w:r>
        <w:rPr>
          <w:rFonts w:hint="eastAsia"/>
          <w:color w:val="auto"/>
          <w:spacing w:val="2"/>
          <w:sz w:val="21"/>
          <w:szCs w:val="21"/>
          <w:highlight w:val="none"/>
          <w:lang w:val="en-US" w:eastAsia="zh-CN"/>
        </w:rPr>
        <w:t>人承包</w:t>
      </w:r>
      <w:r>
        <w:rPr>
          <w:color w:val="auto"/>
          <w:spacing w:val="2"/>
          <w:sz w:val="21"/>
          <w:szCs w:val="21"/>
          <w:highlight w:val="none"/>
          <w:lang w:eastAsia="zh-CN"/>
        </w:rPr>
        <w:t>整个</w:t>
      </w:r>
      <w:r>
        <w:rPr>
          <w:rFonts w:hint="eastAsia"/>
          <w:color w:val="auto"/>
          <w:spacing w:val="2"/>
          <w:sz w:val="21"/>
          <w:szCs w:val="21"/>
          <w:highlight w:val="none"/>
          <w:lang w:eastAsia="zh-CN"/>
        </w:rPr>
        <w:t>项目深化</w:t>
      </w:r>
      <w:r>
        <w:rPr>
          <w:color w:val="auto"/>
          <w:spacing w:val="2"/>
          <w:sz w:val="21"/>
          <w:szCs w:val="21"/>
          <w:highlight w:val="none"/>
          <w:lang w:eastAsia="zh-CN"/>
        </w:rPr>
        <w:t>设计、</w:t>
      </w:r>
      <w:r>
        <w:rPr>
          <w:rFonts w:hint="eastAsia"/>
          <w:color w:val="auto"/>
          <w:spacing w:val="2"/>
          <w:sz w:val="21"/>
          <w:szCs w:val="21"/>
          <w:highlight w:val="none"/>
          <w:lang w:eastAsia="zh-CN"/>
        </w:rPr>
        <w:t>供货</w:t>
      </w:r>
      <w:r>
        <w:rPr>
          <w:color w:val="auto"/>
          <w:spacing w:val="2"/>
          <w:sz w:val="21"/>
          <w:szCs w:val="21"/>
          <w:highlight w:val="none"/>
          <w:lang w:eastAsia="zh-CN"/>
        </w:rPr>
        <w:t>、</w:t>
      </w:r>
      <w:r>
        <w:rPr>
          <w:rFonts w:hint="eastAsia"/>
          <w:color w:val="auto"/>
          <w:spacing w:val="2"/>
          <w:sz w:val="21"/>
          <w:szCs w:val="21"/>
          <w:highlight w:val="none"/>
          <w:lang w:eastAsia="zh-CN"/>
        </w:rPr>
        <w:t>安装、调试等，</w:t>
      </w:r>
      <w:r>
        <w:rPr>
          <w:color w:val="auto"/>
          <w:spacing w:val="2"/>
          <w:sz w:val="21"/>
          <w:szCs w:val="21"/>
          <w:highlight w:val="none"/>
          <w:lang w:eastAsia="zh-CN"/>
        </w:rPr>
        <w:t>并对所承包的</w:t>
      </w:r>
      <w:r>
        <w:rPr>
          <w:rFonts w:hint="eastAsia"/>
          <w:color w:val="auto"/>
          <w:spacing w:val="2"/>
          <w:sz w:val="21"/>
          <w:szCs w:val="21"/>
          <w:highlight w:val="none"/>
          <w:lang w:eastAsia="zh-CN"/>
        </w:rPr>
        <w:t>项目</w:t>
      </w:r>
      <w:r>
        <w:rPr>
          <w:color w:val="auto"/>
          <w:spacing w:val="2"/>
          <w:sz w:val="21"/>
          <w:szCs w:val="21"/>
          <w:highlight w:val="none"/>
          <w:lang w:eastAsia="zh-CN"/>
        </w:rPr>
        <w:t>的质量、安全、工期</w:t>
      </w:r>
      <w:r>
        <w:rPr>
          <w:rFonts w:hint="eastAsia"/>
          <w:color w:val="auto"/>
          <w:spacing w:val="2"/>
          <w:sz w:val="21"/>
          <w:szCs w:val="21"/>
          <w:highlight w:val="none"/>
          <w:lang w:eastAsia="zh-CN"/>
        </w:rPr>
        <w:t>、验收</w:t>
      </w:r>
      <w:r>
        <w:rPr>
          <w:color w:val="auto"/>
          <w:spacing w:val="2"/>
          <w:sz w:val="21"/>
          <w:szCs w:val="21"/>
          <w:highlight w:val="none"/>
          <w:lang w:eastAsia="zh-CN"/>
        </w:rPr>
        <w:t>等全面负责</w:t>
      </w:r>
      <w:r>
        <w:rPr>
          <w:rFonts w:hint="eastAsia"/>
          <w:color w:val="auto"/>
          <w:spacing w:val="2"/>
          <w:sz w:val="21"/>
          <w:szCs w:val="21"/>
          <w:highlight w:val="none"/>
          <w:lang w:eastAsia="zh-CN"/>
        </w:rPr>
        <w:t>，</w:t>
      </w:r>
      <w:r>
        <w:rPr>
          <w:rFonts w:hint="eastAsia"/>
          <w:color w:val="auto"/>
          <w:spacing w:val="2"/>
          <w:sz w:val="21"/>
          <w:szCs w:val="21"/>
          <w:highlight w:val="none"/>
          <w:lang w:val="en-US" w:eastAsia="zh-CN"/>
        </w:rPr>
        <w:t>方案最终经设计单位及建设单位认可后方可实施。</w:t>
      </w:r>
    </w:p>
    <w:p w14:paraId="3D2D2804">
      <w:pPr>
        <w:pStyle w:val="32"/>
        <w:adjustRightInd w:val="0"/>
        <w:snapToGrid w:val="0"/>
        <w:spacing w:before="143" w:line="400" w:lineRule="exact"/>
        <w:ind w:left="24" w:right="57" w:firstLine="420"/>
        <w:rPr>
          <w:rFonts w:hint="eastAsia"/>
          <w:color w:val="auto"/>
          <w:spacing w:val="2"/>
          <w:sz w:val="21"/>
          <w:szCs w:val="21"/>
          <w:highlight w:val="none"/>
          <w:lang w:eastAsia="zh-CN"/>
        </w:rPr>
      </w:pPr>
      <w:r>
        <w:rPr>
          <w:rFonts w:hint="eastAsia"/>
          <w:color w:val="auto"/>
          <w:spacing w:val="2"/>
          <w:sz w:val="21"/>
          <w:szCs w:val="21"/>
          <w:highlight w:val="none"/>
          <w:lang w:val="en-US" w:eastAsia="zh-CN"/>
        </w:rPr>
        <w:t>4、</w:t>
      </w:r>
      <w:r>
        <w:rPr>
          <w:rFonts w:hint="eastAsia"/>
          <w:color w:val="auto"/>
          <w:spacing w:val="2"/>
          <w:sz w:val="21"/>
          <w:szCs w:val="21"/>
          <w:highlight w:val="none"/>
          <w:lang w:eastAsia="zh-CN"/>
        </w:rPr>
        <w:t>货物由中标人运至采购人指定地点，验收交货前存放及保管概由中标人负责。</w:t>
      </w:r>
    </w:p>
    <w:p w14:paraId="73559E7D">
      <w:pPr>
        <w:pStyle w:val="32"/>
        <w:adjustRightInd w:val="0"/>
        <w:snapToGrid w:val="0"/>
        <w:spacing w:before="143" w:line="400" w:lineRule="exact"/>
        <w:ind w:left="24" w:right="57" w:firstLine="420"/>
        <w:rPr>
          <w:rFonts w:hint="eastAsia"/>
          <w:color w:val="auto"/>
          <w:spacing w:val="2"/>
          <w:sz w:val="21"/>
          <w:szCs w:val="21"/>
          <w:highlight w:val="none"/>
          <w:lang w:eastAsia="zh-CN"/>
        </w:rPr>
      </w:pPr>
      <w:r>
        <w:rPr>
          <w:rFonts w:hint="eastAsia"/>
          <w:color w:val="auto"/>
          <w:spacing w:val="2"/>
          <w:sz w:val="21"/>
          <w:szCs w:val="21"/>
          <w:highlight w:val="none"/>
          <w:lang w:val="en-US" w:eastAsia="zh-CN"/>
        </w:rPr>
        <w:t>5、服务</w:t>
      </w:r>
      <w:r>
        <w:rPr>
          <w:rFonts w:hint="eastAsia"/>
          <w:color w:val="auto"/>
          <w:spacing w:val="2"/>
          <w:sz w:val="21"/>
          <w:szCs w:val="21"/>
          <w:highlight w:val="none"/>
          <w:lang w:eastAsia="zh-CN"/>
        </w:rPr>
        <w:t>队伍必须加强管理，遵守现场的一切规章制度，注意安全；</w:t>
      </w:r>
      <w:r>
        <w:rPr>
          <w:rFonts w:hint="eastAsia"/>
          <w:color w:val="auto"/>
          <w:spacing w:val="2"/>
          <w:sz w:val="21"/>
          <w:szCs w:val="21"/>
          <w:highlight w:val="none"/>
          <w:lang w:val="en-US" w:eastAsia="zh-CN"/>
        </w:rPr>
        <w:t>安装</w:t>
      </w:r>
      <w:r>
        <w:rPr>
          <w:rFonts w:hint="eastAsia"/>
          <w:color w:val="auto"/>
          <w:spacing w:val="2"/>
          <w:sz w:val="21"/>
          <w:szCs w:val="21"/>
          <w:highlight w:val="none"/>
          <w:lang w:eastAsia="zh-CN"/>
        </w:rPr>
        <w:t>期间，中标人必须服从采购人管理，且出现的一切安全事故均由中标人自行承担。货物进场须经采购人验货后才能安装。中标人安装、运输装卸途中对产品造成损坏，应由中标人负责修复及承担一切费用；无论安装期间或退换过程中，中标人负责及时清理垃圾。</w:t>
      </w:r>
    </w:p>
    <w:p w14:paraId="751ECDAA">
      <w:pPr>
        <w:pStyle w:val="32"/>
        <w:adjustRightInd w:val="0"/>
        <w:snapToGrid w:val="0"/>
        <w:spacing w:before="143" w:line="400" w:lineRule="exact"/>
        <w:ind w:left="24" w:right="57" w:firstLine="420"/>
        <w:rPr>
          <w:rFonts w:hint="eastAsia"/>
          <w:color w:val="auto"/>
          <w:spacing w:val="2"/>
          <w:sz w:val="21"/>
          <w:szCs w:val="21"/>
          <w:highlight w:val="none"/>
          <w:lang w:val="en-US" w:eastAsia="zh-CN"/>
        </w:rPr>
      </w:pPr>
      <w:r>
        <w:rPr>
          <w:rFonts w:hint="eastAsia"/>
          <w:color w:val="auto"/>
          <w:spacing w:val="2"/>
          <w:sz w:val="21"/>
          <w:szCs w:val="21"/>
          <w:highlight w:val="none"/>
          <w:lang w:val="en-US" w:eastAsia="zh-CN"/>
        </w:rPr>
        <w:t>6、</w:t>
      </w:r>
      <w:r>
        <w:rPr>
          <w:rFonts w:hint="eastAsia"/>
          <w:color w:val="auto"/>
          <w:spacing w:val="2"/>
          <w:sz w:val="21"/>
          <w:szCs w:val="21"/>
          <w:highlight w:val="none"/>
          <w:lang w:eastAsia="zh-CN"/>
        </w:rPr>
        <w:t>投标人必须按照招标文件要求对产品的各个参数指标作出实质性应答，任何偏差都必须列入偏离表中。</w:t>
      </w:r>
    </w:p>
    <w:p w14:paraId="760D3B19">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、泵站材料及设备限定以下品牌：</w:t>
      </w:r>
    </w:p>
    <w:tbl>
      <w:tblPr>
        <w:tblStyle w:val="18"/>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4608"/>
        <w:gridCol w:w="2795"/>
      </w:tblGrid>
      <w:tr w14:paraId="4FCD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blHeader/>
        </w:trPr>
        <w:tc>
          <w:tcPr>
            <w:tcW w:w="1222" w:type="pct"/>
            <w:noWrap/>
            <w:vAlign w:val="center"/>
          </w:tcPr>
          <w:p w14:paraId="73F2B144">
            <w:pPr>
              <w:jc w:val="center"/>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名称</w:t>
            </w:r>
          </w:p>
        </w:tc>
        <w:tc>
          <w:tcPr>
            <w:tcW w:w="2351" w:type="pct"/>
            <w:noWrap/>
            <w:vAlign w:val="center"/>
          </w:tcPr>
          <w:p w14:paraId="2B7DFFD2">
            <w:pPr>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推荐品牌</w:t>
            </w:r>
          </w:p>
        </w:tc>
        <w:tc>
          <w:tcPr>
            <w:tcW w:w="1426" w:type="pct"/>
            <w:noWrap/>
            <w:vAlign w:val="center"/>
          </w:tcPr>
          <w:p w14:paraId="28A43CD6">
            <w:pPr>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备注</w:t>
            </w:r>
          </w:p>
        </w:tc>
      </w:tr>
      <w:tr w14:paraId="6BAD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22" w:type="pct"/>
            <w:noWrap w:val="0"/>
            <w:vAlign w:val="center"/>
          </w:tcPr>
          <w:p w14:paraId="1093F2C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水泵</w:t>
            </w:r>
          </w:p>
        </w:tc>
        <w:tc>
          <w:tcPr>
            <w:tcW w:w="2351" w:type="pct"/>
            <w:noWrap w:val="0"/>
            <w:vAlign w:val="center"/>
          </w:tcPr>
          <w:p w14:paraId="5AA5B9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蓝深，亚太，泰丰</w:t>
            </w:r>
          </w:p>
        </w:tc>
        <w:tc>
          <w:tcPr>
            <w:tcW w:w="1426" w:type="pct"/>
            <w:noWrap w:val="0"/>
            <w:vAlign w:val="center"/>
          </w:tcPr>
          <w:p w14:paraId="73651871">
            <w:pPr>
              <w:spacing w:line="240" w:lineRule="auto"/>
              <w:jc w:val="center"/>
              <w:rPr>
                <w:rFonts w:hint="eastAsia" w:ascii="宋体" w:hAnsi="宋体" w:eastAsia="宋体" w:cs="宋体"/>
                <w:color w:val="auto"/>
                <w:sz w:val="21"/>
                <w:szCs w:val="21"/>
                <w:highlight w:val="none"/>
                <w:lang w:eastAsia="zh-CN"/>
              </w:rPr>
            </w:pPr>
          </w:p>
        </w:tc>
      </w:tr>
      <w:tr w14:paraId="6DA2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22" w:type="pct"/>
            <w:noWrap w:val="0"/>
            <w:vAlign w:val="center"/>
          </w:tcPr>
          <w:p w14:paraId="52DC84B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阀门</w:t>
            </w:r>
          </w:p>
        </w:tc>
        <w:tc>
          <w:tcPr>
            <w:tcW w:w="2351" w:type="pct"/>
            <w:noWrap w:val="0"/>
            <w:vAlign w:val="center"/>
          </w:tcPr>
          <w:p w14:paraId="33D06E6C">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安徽铜都，上海护航，冠龙</w:t>
            </w:r>
          </w:p>
        </w:tc>
        <w:tc>
          <w:tcPr>
            <w:tcW w:w="1426" w:type="pct"/>
            <w:noWrap w:val="0"/>
            <w:vAlign w:val="center"/>
          </w:tcPr>
          <w:p w14:paraId="4B46FE6A">
            <w:pPr>
              <w:spacing w:line="240" w:lineRule="auto"/>
              <w:jc w:val="center"/>
              <w:rPr>
                <w:rFonts w:hint="eastAsia" w:ascii="宋体" w:hAnsi="宋体" w:eastAsia="宋体" w:cs="宋体"/>
                <w:color w:val="auto"/>
                <w:sz w:val="21"/>
                <w:szCs w:val="21"/>
                <w:highlight w:val="none"/>
                <w:lang w:eastAsia="zh-CN"/>
              </w:rPr>
            </w:pPr>
          </w:p>
        </w:tc>
      </w:tr>
    </w:tbl>
    <w:p w14:paraId="48B57E91">
      <w:pPr>
        <w:numPr>
          <w:ilvl w:val="0"/>
          <w:numId w:val="0"/>
        </w:numPr>
        <w:autoSpaceDE w:val="0"/>
        <w:autoSpaceDN w:val="0"/>
        <w:adjustRightInd w:val="0"/>
        <w:snapToGrid w:val="0"/>
        <w:spacing w:line="480" w:lineRule="exact"/>
        <w:ind w:firstLine="420" w:firstLineChars="200"/>
        <w:rPr>
          <w:rFonts w:hint="eastAsia" w:ascii="宋体" w:hAnsi="宋体"/>
          <w:b/>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投标单位接到采购人订单后，根据现场施工进度，</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日历天内供货，配合采购人进度，对设备进行安装与调试。</w:t>
      </w:r>
    </w:p>
    <w:p w14:paraId="4C58F4E3">
      <w:pPr>
        <w:numPr>
          <w:ilvl w:val="0"/>
          <w:numId w:val="3"/>
        </w:numPr>
        <w:autoSpaceDE w:val="0"/>
        <w:autoSpaceDN w:val="0"/>
        <w:adjustRightInd w:val="0"/>
        <w:snapToGrid w:val="0"/>
        <w:spacing w:line="480" w:lineRule="exact"/>
        <w:ind w:firstLine="422" w:firstLineChars="200"/>
        <w:rPr>
          <w:rFonts w:hint="eastAsia" w:ascii="宋体" w:hAnsi="宋体"/>
          <w:b/>
          <w:color w:val="auto"/>
          <w:szCs w:val="21"/>
        </w:rPr>
      </w:pPr>
      <w:r>
        <w:rPr>
          <w:rFonts w:hint="eastAsia" w:ascii="宋体" w:hAnsi="宋体"/>
          <w:b/>
          <w:color w:val="auto"/>
          <w:szCs w:val="21"/>
        </w:rPr>
        <w:t>投标须知：</w:t>
      </w:r>
    </w:p>
    <w:p w14:paraId="63DA78E4">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1、投标文件正本一份。</w:t>
      </w:r>
    </w:p>
    <w:p w14:paraId="004E1922">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2、投标单位固定单价</w:t>
      </w:r>
      <w:r>
        <w:rPr>
          <w:rFonts w:hint="eastAsia" w:ascii="宋体" w:hAnsi="宋体"/>
          <w:color w:val="auto"/>
          <w:szCs w:val="21"/>
          <w:lang w:val="en-US" w:eastAsia="zh-CN"/>
        </w:rPr>
        <w:t>及总价</w:t>
      </w:r>
      <w:r>
        <w:rPr>
          <w:rFonts w:hint="eastAsia" w:ascii="宋体" w:hAnsi="宋体"/>
          <w:color w:val="auto"/>
          <w:szCs w:val="21"/>
        </w:rPr>
        <w:t>报价</w:t>
      </w:r>
      <w:r>
        <w:rPr>
          <w:rFonts w:hint="eastAsia" w:ascii="宋体" w:hAnsi="宋体"/>
          <w:color w:val="auto"/>
          <w:szCs w:val="21"/>
          <w:lang w:eastAsia="zh-CN"/>
        </w:rPr>
        <w:t>，</w:t>
      </w:r>
      <w:r>
        <w:rPr>
          <w:rFonts w:hint="eastAsia" w:ascii="宋体" w:hAnsi="宋体"/>
          <w:color w:val="auto"/>
          <w:szCs w:val="21"/>
          <w:highlight w:val="none"/>
          <w:lang w:val="en-US" w:eastAsia="zh-CN"/>
        </w:rPr>
        <w:t>总价</w:t>
      </w:r>
      <w:r>
        <w:rPr>
          <w:rFonts w:hint="eastAsia" w:ascii="宋体" w:hAnsi="宋体"/>
          <w:color w:val="auto"/>
          <w:szCs w:val="21"/>
          <w:highlight w:val="none"/>
          <w:lang w:eastAsia="zh-CN"/>
        </w:rPr>
        <w:t>包含货物、设计费用、辅助材料、安装、调试、人工、机械、运输、仓储、保险、运费、各种税费、保险、劳保及质保期间等一切费用。</w:t>
      </w:r>
      <w:r>
        <w:rPr>
          <w:rFonts w:hint="eastAsia" w:ascii="宋体" w:hAnsi="宋体"/>
          <w:color w:val="auto"/>
          <w:szCs w:val="21"/>
        </w:rPr>
        <w:t>投标价格为材料送达招标方指定地点的价格</w:t>
      </w:r>
      <w:r>
        <w:rPr>
          <w:rFonts w:hint="eastAsia" w:ascii="宋体" w:hAnsi="宋体"/>
          <w:color w:val="auto"/>
          <w:szCs w:val="21"/>
          <w:lang w:eastAsia="zh-CN"/>
        </w:rPr>
        <w:t>，</w:t>
      </w:r>
      <w:r>
        <w:rPr>
          <w:rFonts w:hint="eastAsia" w:ascii="宋体" w:hAnsi="宋体"/>
          <w:color w:val="auto"/>
          <w:szCs w:val="21"/>
          <w:lang w:val="en-US" w:eastAsia="zh-CN"/>
        </w:rPr>
        <w:t>须提供投标书及报价清单</w:t>
      </w:r>
      <w:r>
        <w:rPr>
          <w:rFonts w:hint="eastAsia" w:ascii="宋体" w:hAnsi="宋体"/>
          <w:color w:val="auto"/>
          <w:szCs w:val="21"/>
        </w:rPr>
        <w:t>。</w:t>
      </w:r>
    </w:p>
    <w:p w14:paraId="727B5836">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3、投标单位须具有独立法人资格</w:t>
      </w:r>
      <w:r>
        <w:rPr>
          <w:rFonts w:hint="eastAsia" w:ascii="宋体" w:hAnsi="宋体"/>
          <w:color w:val="auto"/>
          <w:szCs w:val="21"/>
          <w:lang w:eastAsia="zh-CN"/>
        </w:rPr>
        <w:t>，</w:t>
      </w:r>
      <w:r>
        <w:rPr>
          <w:rFonts w:hint="eastAsia" w:ascii="宋体" w:hAnsi="宋体"/>
          <w:color w:val="auto"/>
          <w:szCs w:val="21"/>
        </w:rPr>
        <w:t>招标内容在其营业执照的经营范围内，提供营业执照（复印件）。</w:t>
      </w:r>
    </w:p>
    <w:p w14:paraId="0EBD9475">
      <w:pPr>
        <w:autoSpaceDE w:val="0"/>
        <w:autoSpaceDN w:val="0"/>
        <w:adjustRightInd w:val="0"/>
        <w:snapToGrid w:val="0"/>
        <w:spacing w:line="480" w:lineRule="exact"/>
        <w:ind w:firstLine="561"/>
        <w:rPr>
          <w:rFonts w:hint="eastAsia" w:ascii="宋体" w:hAnsi="宋体"/>
          <w:color w:val="auto"/>
          <w:szCs w:val="21"/>
          <w:lang w:eastAsia="zh-CN"/>
        </w:rPr>
      </w:pPr>
      <w:r>
        <w:rPr>
          <w:rFonts w:hint="eastAsia" w:ascii="宋体" w:hAnsi="宋体"/>
          <w:color w:val="auto"/>
          <w:szCs w:val="21"/>
        </w:rPr>
        <w:t>4、</w:t>
      </w:r>
      <w:r>
        <w:rPr>
          <w:rFonts w:hint="eastAsia" w:ascii="宋体" w:hAnsi="宋体"/>
          <w:color w:val="auto"/>
          <w:szCs w:val="21"/>
          <w:lang w:val="en-US" w:eastAsia="zh-CN"/>
        </w:rPr>
        <w:t>投标单位</w:t>
      </w:r>
      <w:r>
        <w:rPr>
          <w:rFonts w:hint="eastAsia" w:ascii="宋体" w:hAnsi="宋体"/>
          <w:color w:val="auto"/>
          <w:szCs w:val="21"/>
        </w:rPr>
        <w:t>具有独立法人资格的生产企业或代理商</w:t>
      </w:r>
      <w:r>
        <w:rPr>
          <w:rFonts w:hint="eastAsia" w:ascii="宋体" w:hAnsi="宋体"/>
          <w:color w:val="auto"/>
          <w:szCs w:val="21"/>
          <w:lang w:eastAsia="zh-CN"/>
        </w:rPr>
        <w:t>。</w:t>
      </w:r>
    </w:p>
    <w:p w14:paraId="5E51C9B2">
      <w:pPr>
        <w:autoSpaceDE w:val="0"/>
        <w:autoSpaceDN w:val="0"/>
        <w:adjustRightInd w:val="0"/>
        <w:snapToGrid w:val="0"/>
        <w:spacing w:line="480" w:lineRule="exact"/>
        <w:ind w:firstLine="561"/>
        <w:rPr>
          <w:rFonts w:hint="eastAsia" w:ascii="宋体" w:hAnsi="宋体"/>
          <w:color w:val="auto"/>
          <w:szCs w:val="21"/>
          <w:lang w:eastAsia="zh-CN"/>
        </w:rPr>
      </w:pPr>
      <w:r>
        <w:rPr>
          <w:rFonts w:hint="eastAsia" w:ascii="宋体" w:hAnsi="宋体"/>
          <w:color w:val="auto"/>
          <w:szCs w:val="21"/>
          <w:lang w:val="en-US" w:eastAsia="zh-CN"/>
        </w:rPr>
        <w:t>5、投标</w:t>
      </w:r>
      <w:r>
        <w:rPr>
          <w:rFonts w:hint="eastAsia" w:ascii="宋体" w:hAnsi="宋体" w:eastAsia="宋体"/>
          <w:color w:val="auto"/>
          <w:szCs w:val="21"/>
          <w:lang w:val="en-US" w:eastAsia="zh-CN"/>
        </w:rPr>
        <w:t>单位</w:t>
      </w:r>
      <w:r>
        <w:rPr>
          <w:rFonts w:hint="eastAsia" w:ascii="宋体" w:hAnsi="宋体"/>
          <w:color w:val="auto"/>
          <w:szCs w:val="21"/>
          <w:lang w:val="en-US" w:eastAsia="zh-CN"/>
        </w:rPr>
        <w:t>须提供：</w:t>
      </w:r>
      <w:r>
        <w:rPr>
          <w:rFonts w:hint="eastAsia" w:ascii="宋体" w:hAnsi="宋体"/>
          <w:color w:val="auto"/>
          <w:szCs w:val="21"/>
        </w:rPr>
        <w:t>未被“信用中国”（www.creditchina.gov.cn)、中国政府采购网（www.ccgp.gov.cn）列入失信被执行人、重大税收违法案件当事人名单、政府采购严重违法失信行为记录名单</w:t>
      </w:r>
      <w:r>
        <w:rPr>
          <w:rFonts w:hint="eastAsia" w:ascii="宋体" w:hAnsi="宋体"/>
          <w:color w:val="auto"/>
          <w:szCs w:val="21"/>
          <w:lang w:eastAsia="zh-CN"/>
        </w:rPr>
        <w:t>的证明。</w:t>
      </w:r>
    </w:p>
    <w:p w14:paraId="22BD4766">
      <w:pPr>
        <w:autoSpaceDE w:val="0"/>
        <w:autoSpaceDN w:val="0"/>
        <w:adjustRightInd w:val="0"/>
        <w:snapToGrid w:val="0"/>
        <w:spacing w:line="480" w:lineRule="exact"/>
        <w:ind w:firstLine="561"/>
        <w:rPr>
          <w:rFonts w:hint="eastAsia" w:ascii="宋体" w:hAnsi="宋体"/>
          <w:color w:val="auto"/>
          <w:szCs w:val="21"/>
          <w:lang w:eastAsia="zh-CN"/>
        </w:rPr>
      </w:pPr>
      <w:r>
        <w:rPr>
          <w:rFonts w:hint="eastAsia" w:ascii="宋体" w:hAnsi="宋体"/>
          <w:color w:val="auto"/>
          <w:szCs w:val="21"/>
          <w:lang w:val="en-US" w:eastAsia="zh-CN"/>
        </w:rPr>
        <w:t>6</w:t>
      </w:r>
      <w:r>
        <w:rPr>
          <w:rFonts w:hint="eastAsia" w:ascii="宋体" w:hAnsi="宋体" w:eastAsia="宋体"/>
          <w:color w:val="auto"/>
          <w:szCs w:val="21"/>
          <w:lang w:val="en-US" w:eastAsia="zh-CN"/>
        </w:rPr>
        <w:t>、投标单位须承诺</w:t>
      </w:r>
      <w:r>
        <w:rPr>
          <w:rFonts w:hint="eastAsia" w:ascii="宋体" w:hAnsi="宋体"/>
          <w:color w:val="auto"/>
          <w:szCs w:val="21"/>
          <w:lang w:val="en-US" w:eastAsia="zh-CN"/>
        </w:rPr>
        <w:t>供货，材料</w:t>
      </w:r>
      <w:r>
        <w:rPr>
          <w:rFonts w:hint="eastAsia" w:ascii="宋体" w:hAnsi="宋体" w:eastAsia="宋体" w:cs="宋体"/>
          <w:color w:val="auto"/>
          <w:szCs w:val="21"/>
          <w:highlight w:val="none"/>
          <w:lang w:val="en-US" w:eastAsia="zh-CN"/>
        </w:rPr>
        <w:t>需按采购人的推荐品牌或同等档次及以上类似品牌中进行采购，进场前须经采购人确认，否则不得进场使用</w:t>
      </w:r>
      <w:r>
        <w:rPr>
          <w:rFonts w:hint="eastAsia" w:ascii="宋体" w:hAnsi="宋体" w:eastAsia="宋体"/>
          <w:color w:val="auto"/>
          <w:szCs w:val="21"/>
          <w:lang w:val="en-US" w:eastAsia="zh-CN"/>
        </w:rPr>
        <w:t>。</w:t>
      </w:r>
      <w:r>
        <w:rPr>
          <w:rFonts w:hint="eastAsia" w:ascii="宋体" w:hAnsi="宋体"/>
          <w:color w:val="auto"/>
          <w:szCs w:val="21"/>
          <w:lang w:val="en-US" w:eastAsia="zh-CN"/>
        </w:rPr>
        <w:t>投标单位</w:t>
      </w:r>
      <w:r>
        <w:rPr>
          <w:rFonts w:hint="eastAsia" w:ascii="宋体" w:hAnsi="宋体"/>
          <w:color w:val="auto"/>
          <w:szCs w:val="21"/>
        </w:rPr>
        <w:t>若</w:t>
      </w:r>
      <w:r>
        <w:rPr>
          <w:rFonts w:hint="eastAsia" w:ascii="宋体" w:hAnsi="宋体"/>
          <w:color w:val="auto"/>
          <w:szCs w:val="21"/>
          <w:lang w:val="en-US" w:eastAsia="zh-CN"/>
        </w:rPr>
        <w:t>为</w:t>
      </w:r>
      <w:r>
        <w:rPr>
          <w:rFonts w:hint="eastAsia" w:ascii="宋体" w:hAnsi="宋体"/>
          <w:color w:val="auto"/>
          <w:szCs w:val="21"/>
        </w:rPr>
        <w:t>代理商须提供</w:t>
      </w:r>
      <w:r>
        <w:rPr>
          <w:rFonts w:hint="eastAsia" w:ascii="宋体" w:hAnsi="宋体"/>
          <w:color w:val="auto"/>
          <w:szCs w:val="21"/>
          <w:lang w:val="en-US" w:eastAsia="zh-CN"/>
        </w:rPr>
        <w:t>生产企业的</w:t>
      </w:r>
      <w:r>
        <w:rPr>
          <w:rFonts w:hint="eastAsia" w:ascii="宋体" w:hAnsi="宋体"/>
          <w:color w:val="auto"/>
          <w:szCs w:val="21"/>
        </w:rPr>
        <w:t>授权委托证明</w:t>
      </w:r>
      <w:r>
        <w:rPr>
          <w:rFonts w:hint="eastAsia" w:ascii="宋体" w:hAnsi="宋体"/>
          <w:color w:val="auto"/>
          <w:szCs w:val="21"/>
          <w:lang w:eastAsia="zh-CN"/>
        </w:rPr>
        <w:t>。</w:t>
      </w:r>
    </w:p>
    <w:p w14:paraId="7E4DDE9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7、投标单位须提供质量承诺书。</w:t>
      </w:r>
    </w:p>
    <w:p w14:paraId="6E418096">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8、</w:t>
      </w:r>
      <w:r>
        <w:rPr>
          <w:rFonts w:hint="eastAsia" w:ascii="宋体" w:hAnsi="宋体"/>
          <w:color w:val="auto"/>
          <w:szCs w:val="21"/>
        </w:rPr>
        <w:t>投标单位须</w:t>
      </w:r>
      <w:r>
        <w:rPr>
          <w:rFonts w:hint="eastAsia" w:ascii="宋体" w:hAnsi="宋体"/>
          <w:color w:val="auto"/>
          <w:szCs w:val="21"/>
          <w:lang w:val="en-US" w:eastAsia="zh-CN"/>
        </w:rPr>
        <w:t>提供一般纳税人证明。</w:t>
      </w:r>
    </w:p>
    <w:p w14:paraId="582E5473">
      <w:pPr>
        <w:autoSpaceDE w:val="0"/>
        <w:autoSpaceDN w:val="0"/>
        <w:adjustRightInd w:val="0"/>
        <w:snapToGrid w:val="0"/>
        <w:spacing w:line="480" w:lineRule="exact"/>
        <w:ind w:firstLine="561"/>
        <w:rPr>
          <w:color w:val="auto"/>
        </w:rPr>
      </w:pPr>
      <w:r>
        <w:rPr>
          <w:rFonts w:hint="eastAsia" w:ascii="宋体" w:hAnsi="宋体"/>
          <w:color w:val="auto"/>
          <w:szCs w:val="21"/>
          <w:lang w:val="en-US" w:eastAsia="zh-CN"/>
        </w:rPr>
        <w:t>9、</w:t>
      </w:r>
      <w:r>
        <w:rPr>
          <w:rFonts w:hint="eastAsia" w:ascii="宋体" w:hAnsi="宋体"/>
          <w:color w:val="auto"/>
          <w:szCs w:val="21"/>
        </w:rPr>
        <w:t>包装要求：</w:t>
      </w:r>
    </w:p>
    <w:p w14:paraId="13B215A7">
      <w:pPr>
        <w:autoSpaceDE w:val="0"/>
        <w:autoSpaceDN w:val="0"/>
        <w:adjustRightInd w:val="0"/>
        <w:snapToGrid w:val="0"/>
        <w:spacing w:line="480" w:lineRule="exact"/>
        <w:ind w:firstLine="561"/>
        <w:rPr>
          <w:rFonts w:hint="default" w:eastAsia="宋体"/>
          <w:color w:val="auto"/>
          <w:lang w:val="en-US" w:eastAsia="zh-CN"/>
        </w:rPr>
      </w:pPr>
      <w:r>
        <w:rPr>
          <w:rFonts w:hint="eastAsia" w:ascii="宋体" w:hAnsi="宋体"/>
          <w:color w:val="auto"/>
          <w:szCs w:val="21"/>
        </w:rPr>
        <w:t>所有包装必须经得起陆上,水上的运输，投标人应对包装的所供货物负责，使其到达目的地后完整无缺，投标人负责提供所有的包装（注明免费）。</w:t>
      </w:r>
    </w:p>
    <w:p w14:paraId="0476DFE3">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lang w:eastAsia="zh-CN"/>
        </w:rPr>
        <w:t>五</w:t>
      </w:r>
      <w:r>
        <w:rPr>
          <w:rFonts w:hint="eastAsia" w:ascii="宋体" w:hAnsi="宋体"/>
          <w:b/>
          <w:color w:val="auto"/>
          <w:szCs w:val="21"/>
        </w:rPr>
        <w:t>、投标文件的密封与递交</w:t>
      </w:r>
    </w:p>
    <w:p w14:paraId="1BB28593">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1、投标文件的份数和签署</w:t>
      </w:r>
    </w:p>
    <w:p w14:paraId="3A28061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投标文件应使用不能擦去的墨水书写或打印，由投标人加盖法人公章和法定代表人或法定代表人委托的代理人印鉴或签字。</w:t>
      </w:r>
    </w:p>
    <w:p w14:paraId="3B4F6D3D">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2、投标文件的密封与标志</w:t>
      </w:r>
    </w:p>
    <w:p w14:paraId="0BACD7E8">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所有封袋上都应写明招标人名称、工程项目名称、投标人名称、卷别；</w:t>
      </w:r>
    </w:p>
    <w:p w14:paraId="4817A483">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所有投标文件都必须在封袋上加盖投标单位法人公章及其法定代表人或授权委托人的印鉴。</w:t>
      </w:r>
    </w:p>
    <w:p w14:paraId="12DE25C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3、投标截止期</w:t>
      </w:r>
    </w:p>
    <w:p w14:paraId="1F9DC066">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3.1投标人应在投标前附表中规定的时间之前将投标文件递交到招标文件前附表指定地点。</w:t>
      </w:r>
    </w:p>
    <w:p w14:paraId="07167AF2">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3539714E">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4、投标文件的修改与撤回</w:t>
      </w:r>
    </w:p>
    <w:p w14:paraId="0C5B4C26">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4.1投标人可以在递交投标文件以后，在规定的投标截止期之前，以书面形式向招标人递交修改或撤回其投标文件的通知。在投标截止期以后，不得更改、撤回投标文件。</w:t>
      </w:r>
    </w:p>
    <w:p w14:paraId="1D7E59A0">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4.2投标文件的修改应按本文件相关条款规定的要求编制、密封、标志和递交（密封袋上应标明“修改”字样）。</w:t>
      </w:r>
    </w:p>
    <w:p w14:paraId="576D136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14:paraId="4BCD6B8C">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b/>
          <w:color w:val="auto"/>
          <w:szCs w:val="21"/>
          <w:lang w:eastAsia="zh-CN"/>
        </w:rPr>
        <w:t>六</w:t>
      </w:r>
      <w:r>
        <w:rPr>
          <w:rFonts w:hint="eastAsia" w:ascii="宋体" w:hAnsi="宋体"/>
          <w:b/>
          <w:color w:val="auto"/>
          <w:szCs w:val="21"/>
        </w:rPr>
        <w:t>、评标</w:t>
      </w:r>
      <w:r>
        <w:rPr>
          <w:rFonts w:hint="eastAsia" w:ascii="宋体" w:hAnsi="宋体"/>
          <w:color w:val="auto"/>
          <w:szCs w:val="21"/>
          <w:lang w:val="en-US" w:eastAsia="zh-CN"/>
        </w:rPr>
        <w:t xml:space="preserve"> </w:t>
      </w:r>
    </w:p>
    <w:p w14:paraId="11F156DE">
      <w:pPr>
        <w:autoSpaceDE w:val="0"/>
        <w:autoSpaceDN w:val="0"/>
        <w:adjustRightInd w:val="0"/>
        <w:snapToGrid w:val="0"/>
        <w:spacing w:line="480" w:lineRule="exact"/>
        <w:ind w:firstLine="630" w:firstLineChars="300"/>
        <w:rPr>
          <w:rFonts w:hint="eastAsia" w:ascii="宋体" w:hAnsi="宋体"/>
          <w:color w:val="auto"/>
          <w:szCs w:val="21"/>
          <w:lang w:val="en-US" w:eastAsia="zh-CN"/>
        </w:rPr>
      </w:pPr>
      <w:r>
        <w:rPr>
          <w:rFonts w:hint="eastAsia" w:ascii="宋体" w:hAnsi="宋体"/>
          <w:color w:val="auto"/>
          <w:szCs w:val="21"/>
          <w:lang w:val="en-US" w:eastAsia="zh-CN"/>
        </w:rPr>
        <w:t xml:space="preserve">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 </w:t>
      </w:r>
    </w:p>
    <w:p w14:paraId="12B8835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6.1评标委员会 </w:t>
      </w:r>
    </w:p>
    <w:p w14:paraId="4BC3E687">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评标由招标人依法组建的评标委员会负责。评标委员会由有关技术、经济等方面的专家组成。 </w:t>
      </w:r>
    </w:p>
    <w:p w14:paraId="1866D4F5">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6.2评审程序 </w:t>
      </w:r>
    </w:p>
    <w:p w14:paraId="16DBA0D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评标按照下列程序进行：1）评标准备；2）初步评审；3）详细评审；4）推荐中标候选人。 </w:t>
      </w:r>
    </w:p>
    <w:p w14:paraId="73F08FE0">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6.3评标准备 </w:t>
      </w:r>
    </w:p>
    <w:p w14:paraId="69E16E63">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6.3.1评标委员会成员签到 </w:t>
      </w:r>
    </w:p>
    <w:p w14:paraId="62F1A5F1">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评标委员会成员到达评标现场时应在签到表上签到以证明出席。 </w:t>
      </w:r>
    </w:p>
    <w:p w14:paraId="495E1233">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6.3.2 评标委员会的分工 </w:t>
      </w:r>
    </w:p>
    <w:p w14:paraId="68AE91E8">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评标委员会首先推选一名评标委员会负责人。评标委员会负责人负责评标活动的组织领导工作。评标委员会负责人在与其他评标委员会成员商议的基础上可以将评标委员会划分为技术组和商务组。 </w:t>
      </w:r>
    </w:p>
    <w:p w14:paraId="64241881">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6.3.3 熟悉文件资料 </w:t>
      </w:r>
    </w:p>
    <w:p w14:paraId="120AA1C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委员会成员应认真研究招标文件，了解和熟悉招标目的、招标范围、主要合同条件、技术标准和要求、质量标准，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 </w:t>
      </w:r>
    </w:p>
    <w:p w14:paraId="36CBA86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6.4初步评审 </w:t>
      </w:r>
    </w:p>
    <w:p w14:paraId="75FF6837">
      <w:pPr>
        <w:autoSpaceDE w:val="0"/>
        <w:autoSpaceDN w:val="0"/>
        <w:adjustRightInd w:val="0"/>
        <w:snapToGrid w:val="0"/>
        <w:spacing w:line="480" w:lineRule="exact"/>
        <w:ind w:firstLine="561"/>
        <w:rPr>
          <w:rFonts w:hint="eastAsia" w:ascii="宋体" w:hAnsi="宋体"/>
          <w:color w:val="auto"/>
          <w:szCs w:val="21"/>
          <w:lang w:val="en-US" w:eastAsia="zh-CN"/>
        </w:rPr>
      </w:pPr>
    </w:p>
    <w:p w14:paraId="1F531695">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6.4.1响应性评审 </w:t>
      </w:r>
    </w:p>
    <w:p w14:paraId="155ECDD2">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6.4.2算术错误修正 </w:t>
      </w:r>
    </w:p>
    <w:p w14:paraId="6E6D3722">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6.4.3澄清、说明或补正 </w:t>
      </w:r>
    </w:p>
    <w:p w14:paraId="32BBAC9E">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在初步评审过程中，评标委员会应当就投标文件中不明确的内容要求投标人进行澄清． </w:t>
      </w:r>
    </w:p>
    <w:p w14:paraId="16580F0C">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6.5详细评审 </w:t>
      </w:r>
    </w:p>
    <w:p w14:paraId="66D68DC2">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只有通过了初步评审、被判定为合格的投标方可进入详细评审。 </w:t>
      </w:r>
    </w:p>
    <w:p w14:paraId="666DA659">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1、投标文件载明的货物包装方式、检验标准和方法等不符合招标文件的要求； </w:t>
      </w:r>
    </w:p>
    <w:p w14:paraId="6CA05FEC">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2、投标文件提出了不能满足招标文件要求或招标人不能接受的工程验收、计量、价款结算支付办法； </w:t>
      </w:r>
    </w:p>
    <w:p w14:paraId="358E2040">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3、经评标委员会认定投标人的投标报价低于成本价的； </w:t>
      </w:r>
    </w:p>
    <w:p w14:paraId="6E6A2203">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4、投标人未按照招标文件的要求提供必须提交的相关资料的； </w:t>
      </w:r>
    </w:p>
    <w:p w14:paraId="3340FAC8">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5、投标文件附有招标人不能接受的条件；</w:t>
      </w:r>
    </w:p>
    <w:p w14:paraId="0084013E">
      <w:pPr>
        <w:autoSpaceDE w:val="0"/>
        <w:autoSpaceDN w:val="0"/>
        <w:adjustRightInd w:val="0"/>
        <w:snapToGrid w:val="0"/>
        <w:spacing w:line="480" w:lineRule="exact"/>
        <w:ind w:firstLine="561"/>
        <w:rPr>
          <w:rFonts w:hint="eastAsia" w:ascii="宋体" w:hAnsi="宋体"/>
          <w:b/>
          <w:color w:val="auto"/>
          <w:szCs w:val="21"/>
        </w:rPr>
      </w:pPr>
      <w:r>
        <w:rPr>
          <w:rFonts w:hint="eastAsia" w:ascii="宋体" w:hAnsi="宋体"/>
          <w:b/>
          <w:color w:val="auto"/>
          <w:szCs w:val="21"/>
          <w:lang w:val="en-US" w:eastAsia="zh-CN"/>
        </w:rPr>
        <w:t>七、</w:t>
      </w:r>
      <w:r>
        <w:rPr>
          <w:rFonts w:hint="eastAsia" w:ascii="宋体" w:hAnsi="宋体"/>
          <w:b/>
          <w:color w:val="auto"/>
          <w:szCs w:val="21"/>
        </w:rPr>
        <w:t xml:space="preserve">评标标准及方法 </w:t>
      </w:r>
    </w:p>
    <w:p w14:paraId="7DDC3A9C">
      <w:pPr>
        <w:autoSpaceDE w:val="0"/>
        <w:autoSpaceDN w:val="0"/>
        <w:adjustRightInd w:val="0"/>
        <w:snapToGrid w:val="0"/>
        <w:spacing w:line="480" w:lineRule="exact"/>
        <w:ind w:firstLine="561"/>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lang w:val="en-US" w:eastAsia="zh-CN"/>
        </w:rPr>
        <w:t>.1</w:t>
      </w:r>
      <w:r>
        <w:rPr>
          <w:rFonts w:hint="eastAsia" w:ascii="宋体" w:hAnsi="宋体" w:eastAsia="宋体" w:cs="宋体"/>
          <w:color w:val="auto"/>
          <w:szCs w:val="21"/>
        </w:rPr>
        <w:t>本工程采用综合评分法</w:t>
      </w:r>
      <w:r>
        <w:rPr>
          <w:rFonts w:hint="eastAsia" w:ascii="宋体" w:hAnsi="宋体" w:eastAsia="宋体" w:cs="宋体"/>
          <w:color w:val="auto"/>
          <w:szCs w:val="21"/>
          <w:lang w:eastAsia="zh-CN"/>
        </w:rPr>
        <w:t>，</w:t>
      </w:r>
      <w:r>
        <w:rPr>
          <w:rFonts w:hint="eastAsia" w:ascii="宋体" w:hAnsi="宋体" w:eastAsia="宋体" w:cs="宋体"/>
          <w:color w:val="auto"/>
          <w:szCs w:val="21"/>
        </w:rPr>
        <w:t>投标文件满足招标文件全部实质性要求，且按照评审因素的量化指标评审得分（即评标总得分）最高的投标人为中标候选人。</w:t>
      </w:r>
    </w:p>
    <w:p w14:paraId="758053BA">
      <w:pPr>
        <w:autoSpaceDE w:val="0"/>
        <w:autoSpaceDN w:val="0"/>
        <w:adjustRightInd w:val="0"/>
        <w:snapToGrid w:val="0"/>
        <w:spacing w:line="480" w:lineRule="exact"/>
        <w:ind w:firstLine="561"/>
        <w:rPr>
          <w:rFonts w:hint="eastAsia" w:ascii="宋体" w:hAnsi="宋体" w:eastAsia="宋体" w:cs="宋体"/>
          <w:color w:val="auto"/>
          <w:szCs w:val="21"/>
        </w:rPr>
      </w:pPr>
      <w:r>
        <w:rPr>
          <w:rFonts w:hint="eastAsia" w:ascii="宋体" w:hAnsi="宋体" w:eastAsia="宋体" w:cs="宋体"/>
          <w:color w:val="auto"/>
          <w:szCs w:val="21"/>
          <w:lang w:val="en-US" w:eastAsia="zh-CN"/>
        </w:rPr>
        <w:t>7.2</w:t>
      </w:r>
      <w:r>
        <w:rPr>
          <w:rFonts w:hint="eastAsia" w:ascii="宋体" w:hAnsi="宋体" w:eastAsia="宋体" w:cs="宋体"/>
          <w:color w:val="auto"/>
          <w:szCs w:val="21"/>
          <w:lang w:eastAsia="zh-CN"/>
        </w:rPr>
        <w:t>商</w:t>
      </w:r>
      <w:r>
        <w:rPr>
          <w:rFonts w:hint="eastAsia" w:ascii="宋体" w:hAnsi="宋体" w:eastAsia="宋体" w:cs="宋体"/>
          <w:color w:val="auto"/>
          <w:szCs w:val="21"/>
        </w:rPr>
        <w:t>务文件</w:t>
      </w:r>
      <w:r>
        <w:rPr>
          <w:rFonts w:hint="eastAsia" w:ascii="宋体" w:hAnsi="宋体" w:eastAsia="宋体" w:cs="宋体"/>
          <w:color w:val="auto"/>
          <w:szCs w:val="21"/>
          <w:lang w:val="en-US" w:eastAsia="zh-CN"/>
        </w:rPr>
        <w:t>6</w:t>
      </w:r>
      <w:r>
        <w:rPr>
          <w:rFonts w:hint="eastAsia" w:ascii="宋体" w:hAnsi="宋体" w:eastAsia="宋体" w:cs="宋体"/>
          <w:color w:val="auto"/>
          <w:szCs w:val="21"/>
        </w:rPr>
        <w:t>0分：</w:t>
      </w:r>
    </w:p>
    <w:p w14:paraId="154229A9">
      <w:pPr>
        <w:autoSpaceDE w:val="0"/>
        <w:autoSpaceDN w:val="0"/>
        <w:adjustRightInd w:val="0"/>
        <w:snapToGrid w:val="0"/>
        <w:spacing w:line="480" w:lineRule="exact"/>
        <w:ind w:firstLine="561"/>
        <w:rPr>
          <w:rFonts w:hint="eastAsia" w:ascii="宋体" w:hAnsi="宋体" w:eastAsia="宋体" w:cs="宋体"/>
          <w:color w:val="auto"/>
          <w:szCs w:val="21"/>
        </w:rPr>
      </w:pPr>
      <w:r>
        <w:rPr>
          <w:rFonts w:hint="eastAsia" w:ascii="宋体" w:hAnsi="宋体" w:eastAsia="宋体" w:cs="宋体"/>
          <w:color w:val="auto"/>
          <w:szCs w:val="21"/>
        </w:rPr>
        <w:t>报价分</w:t>
      </w:r>
      <w:r>
        <w:rPr>
          <w:rFonts w:hint="eastAsia" w:ascii="宋体" w:hAnsi="宋体" w:eastAsia="宋体" w:cs="宋体"/>
          <w:color w:val="auto"/>
          <w:szCs w:val="21"/>
          <w:lang w:val="en-US" w:eastAsia="zh-CN"/>
        </w:rPr>
        <w:t>6</w:t>
      </w:r>
      <w:r>
        <w:rPr>
          <w:rFonts w:hint="eastAsia" w:ascii="宋体" w:hAnsi="宋体" w:eastAsia="宋体" w:cs="宋体"/>
          <w:color w:val="auto"/>
          <w:szCs w:val="21"/>
        </w:rPr>
        <w:t>0分：</w:t>
      </w:r>
    </w:p>
    <w:p w14:paraId="52B5D335">
      <w:pPr>
        <w:autoSpaceDE w:val="0"/>
        <w:autoSpaceDN w:val="0"/>
        <w:adjustRightInd w:val="0"/>
        <w:snapToGrid w:val="0"/>
        <w:spacing w:line="480" w:lineRule="exact"/>
        <w:ind w:firstLine="561"/>
        <w:rPr>
          <w:rFonts w:hint="eastAsia" w:ascii="宋体" w:hAnsi="宋体" w:eastAsia="宋体" w:cs="宋体"/>
          <w:color w:val="auto"/>
          <w:szCs w:val="21"/>
        </w:rPr>
      </w:pPr>
      <w:r>
        <w:rPr>
          <w:rFonts w:hint="eastAsia" w:ascii="宋体" w:hAnsi="宋体" w:eastAsia="宋体" w:cs="宋体"/>
          <w:color w:val="auto"/>
          <w:szCs w:val="21"/>
        </w:rPr>
        <w:t>投标人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7</w:t>
      </w:r>
      <w:r>
        <w:rPr>
          <w:rFonts w:hint="eastAsia" w:ascii="宋体" w:hAnsi="宋体" w:eastAsia="宋体" w:cs="宋体"/>
          <w:color w:val="auto"/>
          <w:szCs w:val="21"/>
        </w:rPr>
        <w:t>家时，</w:t>
      </w:r>
      <w:r>
        <w:rPr>
          <w:rFonts w:hint="eastAsia" w:ascii="宋体" w:hAnsi="宋体" w:eastAsia="宋体" w:cs="宋体"/>
          <w:color w:val="auto"/>
          <w:szCs w:val="21"/>
          <w:lang w:eastAsia="zh-CN"/>
        </w:rPr>
        <w:t>去掉最高报价与最低报价，</w:t>
      </w:r>
      <w:r>
        <w:rPr>
          <w:rFonts w:hint="eastAsia" w:ascii="宋体" w:hAnsi="宋体" w:eastAsia="宋体" w:cs="宋体"/>
          <w:color w:val="auto"/>
          <w:szCs w:val="21"/>
        </w:rPr>
        <w:t>取</w:t>
      </w:r>
      <w:r>
        <w:rPr>
          <w:rFonts w:hint="eastAsia" w:ascii="宋体" w:hAnsi="宋体" w:eastAsia="宋体" w:cs="宋体"/>
          <w:color w:val="auto"/>
          <w:szCs w:val="21"/>
          <w:lang w:eastAsia="zh-CN"/>
        </w:rPr>
        <w:t>其余</w:t>
      </w:r>
      <w:r>
        <w:rPr>
          <w:rFonts w:hint="eastAsia" w:ascii="宋体" w:hAnsi="宋体" w:eastAsia="宋体" w:cs="宋体"/>
          <w:color w:val="auto"/>
          <w:szCs w:val="21"/>
        </w:rPr>
        <w:t>有效投标价的算术平均值为基准价，投标报价每高于基准价1%扣</w:t>
      </w:r>
      <w:r>
        <w:rPr>
          <w:rFonts w:hint="eastAsia" w:ascii="宋体" w:hAnsi="宋体" w:cs="宋体"/>
          <w:color w:val="auto"/>
          <w:szCs w:val="21"/>
          <w:lang w:val="en-US" w:eastAsia="zh-CN"/>
        </w:rPr>
        <w:t>2</w:t>
      </w:r>
      <w:r>
        <w:rPr>
          <w:rFonts w:hint="eastAsia" w:ascii="宋体" w:hAnsi="宋体" w:eastAsia="宋体" w:cs="宋体"/>
          <w:color w:val="auto"/>
          <w:szCs w:val="21"/>
        </w:rPr>
        <w:t>分，低于基准价1%扣</w:t>
      </w:r>
      <w:r>
        <w:rPr>
          <w:rFonts w:hint="eastAsia" w:ascii="宋体" w:hAnsi="宋体" w:cs="宋体"/>
          <w:color w:val="auto"/>
          <w:szCs w:val="21"/>
          <w:lang w:val="en-US" w:eastAsia="zh-CN"/>
        </w:rPr>
        <w:t>1</w:t>
      </w:r>
      <w:r>
        <w:rPr>
          <w:rFonts w:hint="eastAsia" w:ascii="宋体" w:hAnsi="宋体" w:eastAsia="宋体" w:cs="宋体"/>
          <w:color w:val="auto"/>
          <w:szCs w:val="21"/>
        </w:rPr>
        <w:t>分。</w:t>
      </w:r>
    </w:p>
    <w:p w14:paraId="66167233">
      <w:pPr>
        <w:autoSpaceDE w:val="0"/>
        <w:autoSpaceDN w:val="0"/>
        <w:adjustRightInd w:val="0"/>
        <w:snapToGrid w:val="0"/>
        <w:spacing w:line="480" w:lineRule="exact"/>
        <w:ind w:firstLine="561"/>
        <w:rPr>
          <w:rFonts w:hint="eastAsia" w:ascii="宋体" w:hAnsi="宋体" w:eastAsia="宋体" w:cs="宋体"/>
          <w:color w:val="auto"/>
          <w:szCs w:val="21"/>
        </w:rPr>
      </w:pPr>
      <w:r>
        <w:rPr>
          <w:rFonts w:hint="eastAsia" w:ascii="宋体" w:hAnsi="宋体" w:eastAsia="宋体" w:cs="宋体"/>
          <w:color w:val="auto"/>
          <w:szCs w:val="21"/>
        </w:rPr>
        <w:t>投标人</w:t>
      </w:r>
      <w:r>
        <w:rPr>
          <w:rFonts w:hint="eastAsia" w:ascii="宋体" w:hAnsi="宋体" w:eastAsia="宋体" w:cs="宋体"/>
          <w:color w:val="auto"/>
          <w:szCs w:val="21"/>
          <w:lang w:val="en-US" w:eastAsia="zh-CN"/>
        </w:rPr>
        <w:t>≤7家，且</w:t>
      </w:r>
      <w:r>
        <w:rPr>
          <w:rFonts w:hint="eastAsia" w:ascii="宋体" w:hAnsi="宋体" w:eastAsia="宋体" w:cs="宋体"/>
          <w:color w:val="auto"/>
          <w:szCs w:val="21"/>
        </w:rPr>
        <w:t>≥3家时，取有效投标价的算术平均值为基准价，投标报价每高于基准价1%扣</w:t>
      </w:r>
      <w:r>
        <w:rPr>
          <w:rFonts w:hint="eastAsia" w:ascii="宋体" w:hAnsi="宋体" w:cs="宋体"/>
          <w:color w:val="auto"/>
          <w:szCs w:val="21"/>
          <w:lang w:val="en-US" w:eastAsia="zh-CN"/>
        </w:rPr>
        <w:t>2</w:t>
      </w:r>
      <w:r>
        <w:rPr>
          <w:rFonts w:hint="eastAsia" w:ascii="宋体" w:hAnsi="宋体" w:eastAsia="宋体" w:cs="宋体"/>
          <w:color w:val="auto"/>
          <w:szCs w:val="21"/>
        </w:rPr>
        <w:t>分，低于基准价1%扣</w:t>
      </w:r>
      <w:r>
        <w:rPr>
          <w:rFonts w:hint="eastAsia" w:ascii="宋体" w:hAnsi="宋体" w:cs="宋体"/>
          <w:color w:val="auto"/>
          <w:szCs w:val="21"/>
          <w:lang w:val="en-US" w:eastAsia="zh-CN"/>
        </w:rPr>
        <w:t>1</w:t>
      </w:r>
      <w:r>
        <w:rPr>
          <w:rFonts w:hint="eastAsia" w:ascii="宋体" w:hAnsi="宋体" w:eastAsia="宋体" w:cs="宋体"/>
          <w:color w:val="auto"/>
          <w:szCs w:val="21"/>
        </w:rPr>
        <w:t>分。</w:t>
      </w:r>
    </w:p>
    <w:p w14:paraId="344A5513">
      <w:pPr>
        <w:autoSpaceDE w:val="0"/>
        <w:autoSpaceDN w:val="0"/>
        <w:adjustRightInd w:val="0"/>
        <w:snapToGrid w:val="0"/>
        <w:spacing w:line="480" w:lineRule="exact"/>
        <w:ind w:firstLine="561"/>
        <w:rPr>
          <w:rFonts w:hint="eastAsia" w:ascii="宋体" w:hAnsi="宋体" w:eastAsia="宋体" w:cs="宋体"/>
          <w:bCs/>
          <w:snapToGrid w:val="0"/>
          <w:color w:val="auto"/>
          <w:highlight w:val="none"/>
        </w:rPr>
      </w:pPr>
      <w:r>
        <w:rPr>
          <w:rFonts w:hint="eastAsia" w:ascii="宋体" w:hAnsi="宋体" w:eastAsia="宋体" w:cs="宋体"/>
          <w:bCs/>
          <w:snapToGrid w:val="0"/>
          <w:color w:val="auto"/>
          <w:highlight w:val="none"/>
        </w:rPr>
        <w:t>技术文件</w:t>
      </w:r>
      <w:r>
        <w:rPr>
          <w:rFonts w:hint="eastAsia" w:ascii="宋体" w:hAnsi="宋体" w:cs="宋体"/>
          <w:bCs/>
          <w:snapToGrid w:val="0"/>
          <w:color w:val="auto"/>
          <w:highlight w:val="none"/>
          <w:lang w:val="en-US" w:eastAsia="zh-CN"/>
        </w:rPr>
        <w:t>4</w:t>
      </w:r>
      <w:r>
        <w:rPr>
          <w:rFonts w:hint="eastAsia" w:ascii="宋体" w:hAnsi="宋体" w:eastAsia="宋体" w:cs="宋体"/>
          <w:bCs/>
          <w:snapToGrid w:val="0"/>
          <w:color w:val="auto"/>
          <w:highlight w:val="none"/>
        </w:rPr>
        <w:t>0分：应具备如下基本内容（按下列顺序组卷）没有具体内容的项目也应列出标题后再说明理由。</w:t>
      </w:r>
    </w:p>
    <w:p w14:paraId="07FFC7BA">
      <w:pPr>
        <w:pStyle w:val="15"/>
        <w:widowControl/>
        <w:shd w:val="clear" w:color="auto" w:fill="FFFFFF"/>
        <w:spacing w:beforeAutospacing="0" w:afterAutospacing="0" w:line="360" w:lineRule="auto"/>
        <w:ind w:firstLine="384"/>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rPr>
        <w:t>）技术响应情况</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5分</w:t>
      </w:r>
      <w:r>
        <w:rPr>
          <w:rFonts w:hint="eastAsia" w:ascii="宋体" w:hAnsi="宋体" w:cs="宋体"/>
          <w:color w:val="auto"/>
          <w:sz w:val="21"/>
          <w:szCs w:val="21"/>
          <w:shd w:val="clear" w:color="auto" w:fill="FFFFFF"/>
          <w:lang w:eastAsia="zh-CN"/>
        </w:rPr>
        <w:t>）</w:t>
      </w:r>
    </w:p>
    <w:p w14:paraId="77D97C2B">
      <w:pPr>
        <w:pStyle w:val="15"/>
        <w:widowControl/>
        <w:shd w:val="clear" w:color="auto" w:fill="FFFFFF"/>
        <w:spacing w:beforeAutospacing="0" w:afterAutospacing="0" w:line="360" w:lineRule="auto"/>
        <w:ind w:firstLine="384"/>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lang w:eastAsia="zh-CN"/>
        </w:rPr>
        <w:t>）投标技术方案（</w:t>
      </w:r>
      <w:r>
        <w:rPr>
          <w:rFonts w:hint="eastAsia" w:ascii="宋体" w:hAnsi="宋体" w:eastAsia="宋体" w:cs="宋体"/>
          <w:color w:val="auto"/>
          <w:sz w:val="21"/>
          <w:szCs w:val="21"/>
          <w:shd w:val="clear" w:color="auto" w:fill="FFFFFF"/>
          <w:lang w:val="en-US" w:eastAsia="zh-CN"/>
        </w:rPr>
        <w:t>5分</w:t>
      </w:r>
      <w:r>
        <w:rPr>
          <w:rFonts w:hint="eastAsia" w:ascii="宋体" w:hAnsi="宋体" w:eastAsia="宋体" w:cs="宋体"/>
          <w:color w:val="auto"/>
          <w:sz w:val="21"/>
          <w:szCs w:val="21"/>
          <w:shd w:val="clear" w:color="auto" w:fill="FFFFFF"/>
          <w:lang w:eastAsia="zh-CN"/>
        </w:rPr>
        <w:t>）</w:t>
      </w:r>
    </w:p>
    <w:p w14:paraId="3698DDE0">
      <w:pPr>
        <w:pStyle w:val="15"/>
        <w:widowControl/>
        <w:shd w:val="clear" w:color="auto" w:fill="FFFFFF"/>
        <w:spacing w:beforeAutospacing="0" w:afterAutospacing="0" w:line="360" w:lineRule="auto"/>
        <w:ind w:firstLine="384"/>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lang w:eastAsia="zh-CN"/>
        </w:rPr>
        <w:t>）施工组织方案（</w:t>
      </w:r>
      <w:r>
        <w:rPr>
          <w:rFonts w:hint="eastAsia" w:ascii="宋体" w:hAnsi="宋体" w:eastAsia="宋体" w:cs="宋体"/>
          <w:color w:val="auto"/>
          <w:sz w:val="21"/>
          <w:szCs w:val="21"/>
          <w:shd w:val="clear" w:color="auto" w:fill="FFFFFF"/>
          <w:lang w:val="en-US" w:eastAsia="zh-CN"/>
        </w:rPr>
        <w:t>5分</w:t>
      </w:r>
      <w:r>
        <w:rPr>
          <w:rFonts w:hint="eastAsia" w:ascii="宋体" w:hAnsi="宋体" w:eastAsia="宋体" w:cs="宋体"/>
          <w:color w:val="auto"/>
          <w:sz w:val="21"/>
          <w:szCs w:val="21"/>
          <w:shd w:val="clear" w:color="auto" w:fill="FFFFFF"/>
          <w:lang w:eastAsia="zh-CN"/>
        </w:rPr>
        <w:t>）</w:t>
      </w:r>
    </w:p>
    <w:p w14:paraId="36A1188C">
      <w:pPr>
        <w:pStyle w:val="15"/>
        <w:widowControl/>
        <w:shd w:val="clear" w:color="auto" w:fill="FFFFFF"/>
        <w:spacing w:beforeAutospacing="0" w:afterAutospacing="0" w:line="360" w:lineRule="auto"/>
        <w:ind w:firstLine="384"/>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安装调试方案</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5分</w:t>
      </w:r>
      <w:r>
        <w:rPr>
          <w:rFonts w:hint="eastAsia" w:ascii="宋体" w:hAnsi="宋体" w:eastAsia="宋体" w:cs="宋体"/>
          <w:color w:val="auto"/>
          <w:sz w:val="21"/>
          <w:szCs w:val="21"/>
          <w:shd w:val="clear" w:color="auto" w:fill="FFFFFF"/>
          <w:lang w:eastAsia="zh-CN"/>
        </w:rPr>
        <w:t>）</w:t>
      </w:r>
    </w:p>
    <w:p w14:paraId="1366B26E">
      <w:pPr>
        <w:pStyle w:val="15"/>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eastAsia="zh-CN"/>
        </w:rPr>
        <w:t>）售后服务方案（</w:t>
      </w:r>
      <w:r>
        <w:rPr>
          <w:rFonts w:hint="eastAsia" w:ascii="宋体" w:hAnsi="宋体" w:eastAsia="宋体" w:cs="宋体"/>
          <w:color w:val="auto"/>
          <w:sz w:val="21"/>
          <w:szCs w:val="21"/>
          <w:shd w:val="clear" w:color="auto" w:fill="FFFFFF"/>
          <w:lang w:val="en-US" w:eastAsia="zh-CN"/>
        </w:rPr>
        <w:t>5分</w:t>
      </w:r>
      <w:r>
        <w:rPr>
          <w:rFonts w:hint="eastAsia" w:ascii="宋体" w:hAnsi="宋体" w:cs="宋体"/>
          <w:color w:val="auto"/>
          <w:sz w:val="21"/>
          <w:szCs w:val="21"/>
          <w:shd w:val="clear" w:color="auto" w:fill="FFFFFF"/>
          <w:lang w:eastAsia="zh-CN"/>
        </w:rPr>
        <w:t>）</w:t>
      </w:r>
    </w:p>
    <w:p w14:paraId="0FC16115">
      <w:pPr>
        <w:pStyle w:val="15"/>
        <w:widowControl/>
        <w:shd w:val="clear" w:color="auto" w:fill="FFFFFF"/>
        <w:spacing w:beforeAutospacing="0" w:afterAutospacing="0" w:line="360" w:lineRule="auto"/>
        <w:ind w:firstLine="384"/>
        <w:rPr>
          <w:rFonts w:hint="eastAsia" w:ascii="宋体" w:hAnsi="宋体" w:eastAsia="宋体" w:cs="宋体"/>
          <w:color w:val="auto"/>
          <w:sz w:val="21"/>
          <w:szCs w:val="21"/>
          <w:shd w:val="clear" w:color="auto" w:fill="FFFFFF"/>
          <w:lang w:val="en-US" w:eastAsia="zh-CN"/>
        </w:rPr>
      </w:pPr>
      <w:r>
        <w:rPr>
          <w:rFonts w:hint="eastAsia" w:ascii="宋体" w:hAnsi="宋体" w:cs="宋体"/>
          <w:color w:val="auto"/>
          <w:kern w:val="0"/>
          <w:sz w:val="21"/>
          <w:szCs w:val="21"/>
          <w:shd w:val="clear" w:fill="FFFFFF"/>
          <w:lang w:val="en-US" w:eastAsia="zh-CN" w:bidi="ar-SA"/>
        </w:rPr>
        <w:t>（6）</w:t>
      </w:r>
      <w:r>
        <w:rPr>
          <w:rFonts w:hint="eastAsia" w:ascii="宋体" w:hAnsi="宋体" w:cs="宋体"/>
          <w:color w:val="auto"/>
          <w:sz w:val="21"/>
          <w:szCs w:val="21"/>
          <w:shd w:val="clear" w:color="auto" w:fill="FFFFFF"/>
          <w:lang w:eastAsia="zh-CN"/>
        </w:rPr>
        <w:t>质量保证措施</w:t>
      </w:r>
      <w:r>
        <w:rPr>
          <w:rFonts w:hint="eastAsia" w:ascii="宋体" w:hAnsi="宋体" w:eastAsia="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w:t>
      </w:r>
    </w:p>
    <w:p w14:paraId="5F8F7324">
      <w:pPr>
        <w:pStyle w:val="15"/>
        <w:widowControl/>
        <w:shd w:val="clear" w:color="auto" w:fill="FFFFFF"/>
        <w:spacing w:beforeAutospacing="0" w:afterAutospacing="0" w:line="360" w:lineRule="auto"/>
        <w:ind w:firstLine="384"/>
        <w:rPr>
          <w:rFonts w:hint="eastAsia" w:ascii="宋体" w:hAnsi="宋体" w:eastAsia="宋体" w:cs="宋体"/>
          <w:color w:val="auto"/>
          <w:sz w:val="21"/>
          <w:szCs w:val="21"/>
          <w:shd w:val="clear" w:color="auto" w:fill="FFFFFF"/>
          <w:lang w:val="en-US" w:eastAsia="zh-CN"/>
        </w:rPr>
      </w:pPr>
      <w:r>
        <w:rPr>
          <w:rFonts w:hint="eastAsia" w:ascii="宋体" w:hAnsi="宋体" w:cs="宋体"/>
          <w:color w:val="auto"/>
          <w:kern w:val="0"/>
          <w:sz w:val="21"/>
          <w:szCs w:val="21"/>
          <w:shd w:val="clear" w:fill="FFFFFF"/>
          <w:lang w:val="en-US" w:eastAsia="zh-CN" w:bidi="ar-SA"/>
        </w:rPr>
        <w:t>（7）</w:t>
      </w:r>
      <w:r>
        <w:rPr>
          <w:rFonts w:hint="eastAsia" w:ascii="宋体" w:hAnsi="宋体" w:eastAsia="宋体" w:cs="宋体"/>
          <w:color w:val="auto"/>
          <w:sz w:val="21"/>
          <w:szCs w:val="21"/>
          <w:shd w:val="clear" w:color="auto" w:fill="FFFFFF"/>
        </w:rPr>
        <w:t>业绩</w:t>
      </w:r>
      <w:r>
        <w:rPr>
          <w:rFonts w:hint="eastAsia" w:ascii="宋体" w:hAnsi="宋体" w:eastAsia="宋体" w:cs="宋体"/>
          <w:color w:val="auto"/>
          <w:sz w:val="21"/>
          <w:szCs w:val="21"/>
          <w:shd w:val="clear" w:color="auto" w:fill="FFFFFF"/>
          <w:lang w:val="en-US" w:eastAsia="zh-CN"/>
        </w:rPr>
        <w:t>（</w:t>
      </w:r>
      <w:r>
        <w:rPr>
          <w:rFonts w:hint="eastAsia" w:ascii="宋体" w:hAnsi="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lang w:val="en-US" w:eastAsia="zh-CN"/>
        </w:rPr>
        <w:t>分）</w:t>
      </w:r>
    </w:p>
    <w:p w14:paraId="5FF37B7C">
      <w:pPr>
        <w:pStyle w:val="15"/>
        <w:widowControl/>
        <w:shd w:val="clear" w:color="auto" w:fill="FFFFFF"/>
        <w:spacing w:beforeAutospacing="0" w:afterAutospacing="0" w:line="360" w:lineRule="auto"/>
        <w:ind w:firstLine="384"/>
        <w:rPr>
          <w:rFonts w:hint="eastAsia" w:ascii="宋体" w:hAnsi="宋体" w:eastAsia="宋体" w:cs="宋体"/>
          <w:color w:val="auto"/>
          <w:sz w:val="21"/>
          <w:szCs w:val="21"/>
          <w:shd w:val="clear" w:color="auto" w:fill="FFFFFF"/>
          <w:lang w:val="en-US" w:eastAsia="zh-CN"/>
        </w:rPr>
      </w:pPr>
      <w:r>
        <w:rPr>
          <w:rFonts w:hint="eastAsia" w:ascii="宋体" w:hAnsi="宋体" w:cs="宋体"/>
          <w:color w:val="auto"/>
          <w:kern w:val="0"/>
          <w:sz w:val="21"/>
          <w:szCs w:val="21"/>
          <w:shd w:val="clear" w:fill="FFFFFF"/>
          <w:lang w:val="en-US" w:eastAsia="zh-CN" w:bidi="ar-SA"/>
        </w:rPr>
        <w:t>（8）</w:t>
      </w:r>
      <w:r>
        <w:rPr>
          <w:rFonts w:hint="eastAsia" w:ascii="宋体" w:hAnsi="宋体" w:eastAsia="宋体" w:cs="宋体"/>
          <w:color w:val="auto"/>
          <w:sz w:val="21"/>
          <w:szCs w:val="21"/>
          <w:shd w:val="clear" w:color="auto" w:fill="FFFFFF"/>
          <w:lang w:val="en-US" w:eastAsia="zh-CN"/>
        </w:rPr>
        <w:t>综合实力（</w:t>
      </w:r>
      <w:r>
        <w:rPr>
          <w:rFonts w:hint="eastAsia" w:ascii="宋体" w:hAnsi="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lang w:val="en-US" w:eastAsia="zh-CN"/>
        </w:rPr>
        <w:t>分）</w:t>
      </w:r>
    </w:p>
    <w:p w14:paraId="552DDF29">
      <w:pPr>
        <w:pStyle w:val="15"/>
        <w:widowControl/>
        <w:numPr>
          <w:ilvl w:val="0"/>
          <w:numId w:val="0"/>
        </w:numPr>
        <w:shd w:val="clear" w:color="auto" w:fill="FFFFFF"/>
        <w:spacing w:beforeAutospacing="0" w:afterAutospacing="0"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cs="宋体"/>
          <w:color w:val="auto"/>
          <w:kern w:val="0"/>
          <w:sz w:val="21"/>
          <w:szCs w:val="21"/>
          <w:shd w:val="clear" w:fill="FFFFFF"/>
          <w:lang w:val="en-US" w:eastAsia="zh-CN" w:bidi="ar-SA"/>
        </w:rPr>
        <w:t>（9）</w:t>
      </w:r>
      <w:r>
        <w:rPr>
          <w:rFonts w:hint="eastAsia" w:ascii="宋体" w:hAnsi="宋体" w:eastAsia="宋体" w:cs="宋体"/>
          <w:color w:val="auto"/>
          <w:sz w:val="21"/>
          <w:szCs w:val="21"/>
          <w:shd w:val="clear" w:color="auto" w:fill="FFFFFF"/>
          <w:lang w:val="en-US" w:eastAsia="zh-CN"/>
        </w:rPr>
        <w:t>企业实力（</w:t>
      </w:r>
      <w:r>
        <w:rPr>
          <w:rFonts w:hint="eastAsia" w:ascii="宋体" w:hAnsi="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lang w:val="en-US" w:eastAsia="zh-CN"/>
        </w:rPr>
        <w:t>分）</w:t>
      </w:r>
    </w:p>
    <w:p w14:paraId="4E8EF827">
      <w:pPr>
        <w:pStyle w:val="15"/>
        <w:widowControl/>
        <w:numPr>
          <w:ilvl w:val="0"/>
          <w:numId w:val="0"/>
        </w:numPr>
        <w:shd w:val="clear" w:color="auto" w:fill="FFFFFF"/>
        <w:spacing w:beforeAutospacing="0" w:afterAutospacing="0" w:line="360" w:lineRule="auto"/>
        <w:ind w:firstLine="420" w:firstLineChars="200"/>
        <w:rPr>
          <w:rFonts w:hint="eastAsia" w:ascii="宋体" w:hAnsi="宋体" w:cs="宋体"/>
          <w:color w:val="auto"/>
          <w:sz w:val="21"/>
          <w:szCs w:val="21"/>
          <w:shd w:val="clear" w:color="auto" w:fill="FFFFFF"/>
          <w:lang w:eastAsia="zh-CN"/>
        </w:rPr>
      </w:pPr>
      <w:r>
        <w:rPr>
          <w:rFonts w:hint="eastAsia" w:ascii="宋体" w:hAnsi="宋体" w:cs="宋体"/>
          <w:color w:val="auto"/>
          <w:kern w:val="0"/>
          <w:sz w:val="21"/>
          <w:szCs w:val="21"/>
          <w:shd w:val="clear" w:fill="FFFFFF"/>
          <w:lang w:val="en-US" w:eastAsia="zh-CN" w:bidi="ar-SA"/>
        </w:rPr>
        <w:t>（10）</w:t>
      </w:r>
      <w:r>
        <w:rPr>
          <w:rFonts w:hint="eastAsia" w:ascii="宋体" w:hAnsi="宋体" w:eastAsia="宋体" w:cs="宋体"/>
          <w:color w:val="auto"/>
          <w:sz w:val="21"/>
          <w:szCs w:val="21"/>
          <w:shd w:val="clear" w:color="auto" w:fill="FFFFFF"/>
          <w:lang w:val="en-US" w:eastAsia="zh-CN"/>
        </w:rPr>
        <w:t>本地化服务能力（</w:t>
      </w:r>
      <w:r>
        <w:rPr>
          <w:rFonts w:hint="eastAsia" w:ascii="宋体" w:hAnsi="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lang w:val="en-US" w:eastAsia="zh-CN"/>
        </w:rPr>
        <w:t>分）</w:t>
      </w:r>
    </w:p>
    <w:p w14:paraId="7D666E5C">
      <w:pPr>
        <w:pStyle w:val="15"/>
        <w:widowControl/>
        <w:shd w:val="clear" w:color="auto" w:fill="FFFFFF"/>
        <w:spacing w:beforeAutospacing="0" w:afterAutospacing="0" w:line="360" w:lineRule="auto"/>
        <w:ind w:firstLine="384"/>
        <w:rPr>
          <w:rFonts w:hint="default"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详见评分标准表</w:t>
      </w:r>
    </w:p>
    <w:p w14:paraId="424E12D8">
      <w:pPr>
        <w:autoSpaceDE w:val="0"/>
        <w:autoSpaceDN w:val="0"/>
        <w:adjustRightInd w:val="0"/>
        <w:snapToGrid w:val="0"/>
        <w:spacing w:line="480" w:lineRule="exact"/>
        <w:ind w:firstLine="422" w:firstLineChars="200"/>
        <w:rPr>
          <w:rFonts w:hint="eastAsia" w:ascii="宋体" w:hAnsi="宋体"/>
          <w:b/>
          <w:color w:val="auto"/>
          <w:szCs w:val="21"/>
        </w:rPr>
      </w:pPr>
      <w:r>
        <w:rPr>
          <w:rFonts w:hint="eastAsia" w:ascii="宋体" w:hAnsi="宋体"/>
          <w:b/>
          <w:color w:val="auto"/>
          <w:szCs w:val="21"/>
          <w:lang w:val="en-US" w:eastAsia="zh-CN"/>
        </w:rPr>
        <w:t>八、</w:t>
      </w:r>
      <w:r>
        <w:rPr>
          <w:rFonts w:hint="eastAsia" w:ascii="宋体" w:hAnsi="宋体"/>
          <w:b/>
          <w:color w:val="auto"/>
          <w:szCs w:val="21"/>
        </w:rPr>
        <w:t xml:space="preserve">评标细则 </w:t>
      </w:r>
    </w:p>
    <w:p w14:paraId="6A9471D4">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评分标准</w:t>
      </w:r>
      <w:r>
        <w:rPr>
          <w:rFonts w:hint="eastAsia" w:ascii="宋体" w:hAnsi="宋体" w:cs="宋体"/>
          <w:color w:val="auto"/>
          <w:sz w:val="21"/>
          <w:szCs w:val="21"/>
          <w:shd w:val="clear" w:color="auto" w:fill="FFFFFF"/>
          <w:lang w:eastAsia="zh-CN"/>
        </w:rPr>
        <w:t>：</w:t>
      </w:r>
    </w:p>
    <w:tbl>
      <w:tblPr>
        <w:tblStyle w:val="19"/>
        <w:tblpPr w:leftFromText="180" w:rightFromText="180" w:vertAnchor="text" w:horzAnchor="page" w:tblpXSpec="center" w:tblpY="44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383"/>
        <w:gridCol w:w="7296"/>
      </w:tblGrid>
      <w:tr w14:paraId="5F1D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780" w:type="dxa"/>
            <w:gridSpan w:val="3"/>
            <w:tcBorders>
              <w:top w:val="single" w:color="auto" w:sz="4" w:space="0"/>
              <w:left w:val="single" w:color="auto" w:sz="4" w:space="0"/>
              <w:bottom w:val="single" w:color="auto" w:sz="4" w:space="0"/>
              <w:right w:val="single" w:color="auto" w:sz="4" w:space="0"/>
            </w:tcBorders>
            <w:vAlign w:val="center"/>
          </w:tcPr>
          <w:p w14:paraId="665405A9">
            <w:pPr>
              <w:pStyle w:val="6"/>
              <w:spacing w:line="40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36"/>
                <w:szCs w:val="36"/>
              </w:rPr>
              <w:t>评分</w:t>
            </w:r>
            <w:r>
              <w:rPr>
                <w:rFonts w:hint="eastAsia" w:ascii="宋体" w:hAnsi="宋体" w:eastAsia="宋体" w:cs="宋体"/>
                <w:color w:val="auto"/>
                <w:kern w:val="0"/>
                <w:sz w:val="36"/>
                <w:szCs w:val="36"/>
                <w:lang w:eastAsia="zh-CN"/>
              </w:rPr>
              <w:t>细则</w:t>
            </w:r>
          </w:p>
        </w:tc>
      </w:tr>
      <w:tr w14:paraId="5FBE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5B3BA72C">
            <w:pPr>
              <w:pStyle w:val="6"/>
              <w:spacing w:line="40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商务分</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en-US" w:eastAsia="zh-CN"/>
              </w:rPr>
              <w:t>60</w:t>
            </w:r>
            <w:r>
              <w:rPr>
                <w:rFonts w:hint="eastAsia" w:ascii="宋体" w:hAnsi="宋体" w:eastAsia="宋体" w:cs="宋体"/>
                <w:color w:val="auto"/>
                <w:kern w:val="0"/>
                <w:sz w:val="22"/>
                <w:szCs w:val="22"/>
              </w:rPr>
              <w:t>分）</w:t>
            </w:r>
          </w:p>
        </w:tc>
        <w:tc>
          <w:tcPr>
            <w:tcW w:w="1383" w:type="dxa"/>
            <w:tcBorders>
              <w:top w:val="single" w:color="auto" w:sz="4" w:space="0"/>
              <w:left w:val="single" w:color="auto" w:sz="4" w:space="0"/>
              <w:bottom w:val="single" w:color="auto" w:sz="4" w:space="0"/>
              <w:right w:val="single" w:color="auto" w:sz="4" w:space="0"/>
            </w:tcBorders>
            <w:vAlign w:val="center"/>
          </w:tcPr>
          <w:p w14:paraId="7934A0FB">
            <w:pPr>
              <w:pStyle w:val="6"/>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投标报价与评标基准价（</w:t>
            </w:r>
            <w:r>
              <w:rPr>
                <w:rFonts w:hint="eastAsia" w:ascii="宋体" w:hAnsi="宋体" w:eastAsia="宋体" w:cs="宋体"/>
                <w:color w:val="auto"/>
                <w:kern w:val="0"/>
                <w:sz w:val="22"/>
                <w:szCs w:val="22"/>
                <w:lang w:val="en-US" w:eastAsia="zh-CN"/>
              </w:rPr>
              <w:t>60</w:t>
            </w:r>
            <w:r>
              <w:rPr>
                <w:rFonts w:hint="eastAsia" w:ascii="宋体" w:hAnsi="宋体" w:eastAsia="宋体" w:cs="宋体"/>
                <w:color w:val="auto"/>
                <w:kern w:val="0"/>
                <w:sz w:val="22"/>
                <w:szCs w:val="22"/>
              </w:rPr>
              <w:t>分）</w:t>
            </w:r>
          </w:p>
        </w:tc>
        <w:tc>
          <w:tcPr>
            <w:tcW w:w="7296" w:type="dxa"/>
            <w:tcBorders>
              <w:top w:val="single" w:color="auto" w:sz="4" w:space="0"/>
              <w:left w:val="single" w:color="auto" w:sz="4" w:space="0"/>
              <w:bottom w:val="single" w:color="auto" w:sz="4" w:space="0"/>
              <w:right w:val="single" w:color="auto" w:sz="4" w:space="0"/>
            </w:tcBorders>
            <w:vAlign w:val="center"/>
          </w:tcPr>
          <w:p w14:paraId="190930F0">
            <w:pPr>
              <w:widowControl/>
              <w:spacing w:line="240" w:lineRule="auto"/>
              <w:ind w:firstLine="440" w:firstLineChars="2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投标人</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lang w:val="en-US" w:eastAsia="zh-CN"/>
              </w:rPr>
              <w:t>7</w:t>
            </w:r>
            <w:r>
              <w:rPr>
                <w:rFonts w:hint="eastAsia" w:ascii="宋体" w:hAnsi="宋体" w:eastAsia="宋体" w:cs="宋体"/>
                <w:color w:val="auto"/>
                <w:kern w:val="0"/>
                <w:sz w:val="22"/>
                <w:highlight w:val="none"/>
              </w:rPr>
              <w:t>家时，</w:t>
            </w:r>
            <w:r>
              <w:rPr>
                <w:rFonts w:hint="eastAsia" w:ascii="宋体" w:hAnsi="宋体" w:eastAsia="宋体" w:cs="宋体"/>
                <w:color w:val="auto"/>
                <w:kern w:val="0"/>
                <w:sz w:val="22"/>
                <w:highlight w:val="none"/>
                <w:lang w:eastAsia="zh-CN"/>
              </w:rPr>
              <w:t>去掉最高报价与最低报价，</w:t>
            </w:r>
            <w:r>
              <w:rPr>
                <w:rFonts w:hint="eastAsia" w:ascii="宋体" w:hAnsi="宋体" w:eastAsia="宋体" w:cs="宋体"/>
                <w:color w:val="auto"/>
                <w:kern w:val="0"/>
                <w:sz w:val="22"/>
                <w:highlight w:val="none"/>
              </w:rPr>
              <w:t>取</w:t>
            </w:r>
            <w:r>
              <w:rPr>
                <w:rFonts w:hint="eastAsia" w:ascii="宋体" w:hAnsi="宋体" w:eastAsia="宋体" w:cs="宋体"/>
                <w:color w:val="auto"/>
                <w:kern w:val="0"/>
                <w:sz w:val="22"/>
                <w:highlight w:val="none"/>
                <w:lang w:eastAsia="zh-CN"/>
              </w:rPr>
              <w:t>其余</w:t>
            </w:r>
            <w:r>
              <w:rPr>
                <w:rFonts w:hint="eastAsia" w:ascii="宋体" w:hAnsi="宋体" w:eastAsia="宋体" w:cs="宋体"/>
                <w:color w:val="auto"/>
                <w:kern w:val="0"/>
                <w:sz w:val="22"/>
                <w:highlight w:val="none"/>
              </w:rPr>
              <w:t>有效投标价的算术平均值为基准价，投标报价每高于基准价1%扣</w:t>
            </w:r>
            <w:r>
              <w:rPr>
                <w:rFonts w:hint="eastAsia" w:ascii="宋体" w:hAnsi="宋体" w:cs="宋体"/>
                <w:color w:val="auto"/>
                <w:kern w:val="0"/>
                <w:sz w:val="22"/>
                <w:highlight w:val="none"/>
                <w:lang w:val="en-US" w:eastAsia="zh-CN"/>
              </w:rPr>
              <w:t>2</w:t>
            </w:r>
            <w:r>
              <w:rPr>
                <w:rFonts w:hint="eastAsia" w:ascii="宋体" w:hAnsi="宋体" w:eastAsia="宋体" w:cs="宋体"/>
                <w:color w:val="auto"/>
                <w:kern w:val="0"/>
                <w:sz w:val="22"/>
                <w:highlight w:val="none"/>
              </w:rPr>
              <w:t>分，低于基准价1%扣</w:t>
            </w:r>
            <w:r>
              <w:rPr>
                <w:rFonts w:hint="eastAsia" w:ascii="宋体" w:hAnsi="宋体" w:cs="宋体"/>
                <w:color w:val="auto"/>
                <w:kern w:val="0"/>
                <w:sz w:val="22"/>
                <w:highlight w:val="none"/>
                <w:lang w:val="en-US" w:eastAsia="zh-CN"/>
              </w:rPr>
              <w:t>1</w:t>
            </w:r>
            <w:r>
              <w:rPr>
                <w:rFonts w:hint="eastAsia" w:ascii="宋体" w:hAnsi="宋体" w:eastAsia="宋体" w:cs="宋体"/>
                <w:color w:val="auto"/>
                <w:kern w:val="0"/>
                <w:sz w:val="22"/>
                <w:highlight w:val="none"/>
              </w:rPr>
              <w:t>分。</w:t>
            </w:r>
          </w:p>
          <w:p w14:paraId="64D9DF56">
            <w:pPr>
              <w:pStyle w:val="15"/>
              <w:widowControl/>
              <w:shd w:val="clear" w:color="auto" w:fill="FFFFFF"/>
              <w:spacing w:beforeAutospacing="0" w:afterAutospacing="0" w:line="24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highlight w:val="none"/>
              </w:rPr>
              <w:t>投标人</w:t>
            </w:r>
            <w:r>
              <w:rPr>
                <w:rFonts w:hint="eastAsia" w:ascii="宋体" w:hAnsi="宋体" w:eastAsia="宋体" w:cs="宋体"/>
                <w:color w:val="auto"/>
                <w:kern w:val="0"/>
                <w:sz w:val="22"/>
                <w:highlight w:val="none"/>
                <w:lang w:val="en-US" w:eastAsia="zh-CN"/>
              </w:rPr>
              <w:t>≤7家，且</w:t>
            </w:r>
            <w:r>
              <w:rPr>
                <w:rFonts w:hint="eastAsia" w:ascii="宋体" w:hAnsi="宋体" w:eastAsia="宋体" w:cs="宋体"/>
                <w:color w:val="auto"/>
                <w:kern w:val="0"/>
                <w:sz w:val="22"/>
                <w:highlight w:val="none"/>
              </w:rPr>
              <w:t>≥3家时，取有效投标价的算术平均值为基准价，投标报价每高于基准价1%扣</w:t>
            </w:r>
            <w:r>
              <w:rPr>
                <w:rFonts w:hint="eastAsia" w:ascii="宋体" w:hAnsi="宋体" w:cs="宋体"/>
                <w:color w:val="auto"/>
                <w:kern w:val="0"/>
                <w:sz w:val="22"/>
                <w:highlight w:val="none"/>
                <w:lang w:val="en-US" w:eastAsia="zh-CN"/>
              </w:rPr>
              <w:t>2</w:t>
            </w:r>
            <w:r>
              <w:rPr>
                <w:rFonts w:hint="eastAsia" w:ascii="宋体" w:hAnsi="宋体" w:eastAsia="宋体" w:cs="宋体"/>
                <w:color w:val="auto"/>
                <w:kern w:val="0"/>
                <w:sz w:val="22"/>
                <w:highlight w:val="none"/>
              </w:rPr>
              <w:t>分，低于基准价1%扣</w:t>
            </w:r>
            <w:r>
              <w:rPr>
                <w:rFonts w:hint="eastAsia" w:ascii="宋体" w:hAnsi="宋体" w:cs="宋体"/>
                <w:color w:val="auto"/>
                <w:kern w:val="0"/>
                <w:sz w:val="22"/>
                <w:highlight w:val="none"/>
                <w:lang w:val="en-US" w:eastAsia="zh-CN"/>
              </w:rPr>
              <w:t>1</w:t>
            </w:r>
            <w:r>
              <w:rPr>
                <w:rFonts w:hint="eastAsia" w:ascii="宋体" w:hAnsi="宋体" w:eastAsia="宋体" w:cs="宋体"/>
                <w:color w:val="auto"/>
                <w:kern w:val="0"/>
                <w:sz w:val="22"/>
                <w:highlight w:val="none"/>
              </w:rPr>
              <w:t>分。</w:t>
            </w:r>
          </w:p>
        </w:tc>
      </w:tr>
      <w:tr w14:paraId="3B53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101" w:type="dxa"/>
            <w:vMerge w:val="restart"/>
            <w:tcBorders>
              <w:top w:val="single" w:color="auto" w:sz="4" w:space="0"/>
              <w:left w:val="single" w:color="auto" w:sz="4" w:space="0"/>
              <w:right w:val="single" w:color="auto" w:sz="4" w:space="0"/>
            </w:tcBorders>
            <w:vAlign w:val="center"/>
          </w:tcPr>
          <w:p w14:paraId="7055064E">
            <w:pPr>
              <w:pStyle w:val="6"/>
              <w:spacing w:line="40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技术分</w:t>
            </w:r>
          </w:p>
          <w:p w14:paraId="16231A69">
            <w:pPr>
              <w:pStyle w:val="6"/>
              <w:spacing w:line="40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40分</w:t>
            </w:r>
            <w:r>
              <w:rPr>
                <w:rFonts w:hint="eastAsia" w:ascii="宋体" w:hAnsi="宋体" w:eastAsia="宋体" w:cs="宋体"/>
                <w:color w:val="auto"/>
                <w:kern w:val="0"/>
                <w:sz w:val="22"/>
                <w:szCs w:val="22"/>
                <w:lang w:eastAsia="zh-CN"/>
              </w:rPr>
              <w:t>）</w:t>
            </w:r>
          </w:p>
        </w:tc>
        <w:tc>
          <w:tcPr>
            <w:tcW w:w="1383" w:type="dxa"/>
            <w:tcBorders>
              <w:top w:val="single" w:color="auto" w:sz="4" w:space="0"/>
              <w:left w:val="single" w:color="auto" w:sz="4" w:space="0"/>
              <w:bottom w:val="single" w:color="auto" w:sz="4" w:space="0"/>
              <w:right w:val="single" w:color="auto" w:sz="4" w:space="0"/>
            </w:tcBorders>
            <w:vAlign w:val="center"/>
          </w:tcPr>
          <w:p w14:paraId="5CF89901">
            <w:pPr>
              <w:pStyle w:val="33"/>
              <w:widowControl w:val="0"/>
              <w:numPr>
                <w:ilvl w:val="0"/>
                <w:numId w:val="0"/>
              </w:numPr>
              <w:jc w:val="center"/>
              <w:rPr>
                <w:rFonts w:hint="eastAsia" w:ascii="宋体" w:hAnsi="宋体" w:eastAsia="宋体" w:cs="宋体"/>
                <w:color w:val="auto"/>
                <w:sz w:val="22"/>
                <w:szCs w:val="22"/>
              </w:rPr>
            </w:pPr>
            <w:r>
              <w:rPr>
                <w:rFonts w:hint="eastAsia" w:ascii="宋体" w:hAnsi="宋体" w:eastAsia="宋体" w:cs="宋体"/>
                <w:color w:val="auto"/>
                <w:sz w:val="22"/>
                <w:szCs w:val="22"/>
              </w:rPr>
              <w:t>技术响应情况</w:t>
            </w:r>
          </w:p>
          <w:p w14:paraId="1BCD63FA">
            <w:pPr>
              <w:pStyle w:val="33"/>
              <w:widowControl w:val="0"/>
              <w:numPr>
                <w:ilvl w:val="0"/>
                <w:numId w:val="0"/>
              </w:numPr>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（5分）</w:t>
            </w:r>
          </w:p>
        </w:tc>
        <w:tc>
          <w:tcPr>
            <w:tcW w:w="7296" w:type="dxa"/>
            <w:tcBorders>
              <w:top w:val="single" w:color="auto" w:sz="4" w:space="0"/>
              <w:left w:val="single" w:color="auto" w:sz="4" w:space="0"/>
              <w:bottom w:val="single" w:color="auto" w:sz="4" w:space="0"/>
              <w:right w:val="single" w:color="auto" w:sz="4" w:space="0"/>
            </w:tcBorders>
            <w:vAlign w:val="center"/>
          </w:tcPr>
          <w:p w14:paraId="3EF8D9F6">
            <w:pPr>
              <w:pStyle w:val="33"/>
              <w:widowControl w:val="0"/>
              <w:numPr>
                <w:ilvl w:val="0"/>
                <w:numId w:val="0"/>
              </w:numPr>
              <w:jc w:val="center"/>
              <w:rPr>
                <w:rFonts w:hint="eastAsia" w:ascii="宋体" w:hAnsi="宋体" w:eastAsia="宋体" w:cs="宋体"/>
                <w:color w:val="auto"/>
                <w:sz w:val="22"/>
                <w:szCs w:val="22"/>
              </w:rPr>
            </w:pPr>
            <w:r>
              <w:rPr>
                <w:rFonts w:hint="eastAsia" w:ascii="宋体" w:hAnsi="宋体" w:eastAsia="宋体" w:cs="宋体"/>
                <w:color w:val="auto"/>
                <w:sz w:val="22"/>
                <w:szCs w:val="22"/>
              </w:rPr>
              <w:t>根据各投标人对招标文件“</w:t>
            </w:r>
            <w:r>
              <w:rPr>
                <w:rFonts w:hint="eastAsia" w:ascii="宋体" w:hAnsi="宋体" w:eastAsia="宋体" w:cs="宋体"/>
                <w:color w:val="auto"/>
                <w:sz w:val="22"/>
                <w:szCs w:val="22"/>
                <w:lang w:eastAsia="zh-CN"/>
              </w:rPr>
              <w:t>附件图纸</w:t>
            </w:r>
            <w:r>
              <w:rPr>
                <w:rFonts w:hint="eastAsia" w:ascii="宋体" w:hAnsi="宋体" w:eastAsia="宋体" w:cs="宋体"/>
                <w:color w:val="auto"/>
                <w:sz w:val="22"/>
                <w:szCs w:val="22"/>
              </w:rPr>
              <w:t>”中“</w:t>
            </w:r>
            <w:r>
              <w:rPr>
                <w:rFonts w:hint="eastAsia" w:ascii="宋体" w:hAnsi="宋体" w:eastAsia="宋体" w:cs="宋体"/>
                <w:color w:val="auto"/>
                <w:sz w:val="22"/>
                <w:szCs w:val="22"/>
                <w:lang w:eastAsia="zh-CN"/>
              </w:rPr>
              <w:t>设计说明</w:t>
            </w:r>
            <w:r>
              <w:rPr>
                <w:rFonts w:hint="eastAsia" w:ascii="宋体" w:hAnsi="宋体" w:eastAsia="宋体" w:cs="宋体"/>
                <w:color w:val="auto"/>
                <w:sz w:val="22"/>
                <w:szCs w:val="22"/>
              </w:rPr>
              <w:t xml:space="preserve">”的各项配置要求的响应情况由评委进行评分：全部满足的得 </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所提供的技术响应情况</w:t>
            </w:r>
          </w:p>
          <w:p w14:paraId="7CA46236">
            <w:pPr>
              <w:pStyle w:val="33"/>
              <w:widowControl w:val="0"/>
              <w:jc w:val="left"/>
              <w:rPr>
                <w:rFonts w:hint="eastAsia" w:ascii="宋体" w:hAnsi="宋体" w:eastAsia="宋体" w:cs="宋体"/>
                <w:color w:val="auto"/>
                <w:kern w:val="0"/>
                <w:sz w:val="22"/>
                <w:szCs w:val="22"/>
                <w:lang w:eastAsia="zh-CN"/>
              </w:rPr>
            </w:pPr>
            <w:r>
              <w:rPr>
                <w:rFonts w:hint="eastAsia" w:ascii="宋体" w:hAnsi="宋体" w:eastAsia="宋体" w:cs="宋体"/>
                <w:color w:val="auto"/>
                <w:sz w:val="22"/>
                <w:szCs w:val="22"/>
              </w:rPr>
              <w:t>完整、可行性高的得</w:t>
            </w:r>
            <w:r>
              <w:rPr>
                <w:rFonts w:hint="eastAsia" w:ascii="宋体" w:hAnsi="宋体" w:eastAsia="宋体" w:cs="宋体"/>
                <w:color w:val="auto"/>
                <w:sz w:val="22"/>
                <w:szCs w:val="22"/>
                <w:lang w:val="en-US" w:eastAsia="zh-CN"/>
              </w:rPr>
              <w:t>4-5</w:t>
            </w:r>
            <w:r>
              <w:rPr>
                <w:rFonts w:hint="eastAsia" w:ascii="宋体" w:hAnsi="宋体" w:eastAsia="宋体" w:cs="宋体"/>
                <w:color w:val="auto"/>
                <w:sz w:val="22"/>
                <w:szCs w:val="22"/>
              </w:rPr>
              <w:t>分，内容基本完整、可行性一般的得</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分，内容不完整、可行性较差的得</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分，否则不得分。</w:t>
            </w:r>
          </w:p>
        </w:tc>
      </w:tr>
      <w:tr w14:paraId="7429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101" w:type="dxa"/>
            <w:vMerge w:val="continue"/>
            <w:tcBorders>
              <w:left w:val="single" w:color="auto" w:sz="4" w:space="0"/>
              <w:right w:val="single" w:color="auto" w:sz="4" w:space="0"/>
            </w:tcBorders>
            <w:vAlign w:val="center"/>
          </w:tcPr>
          <w:p w14:paraId="6828C18B">
            <w:pPr>
              <w:pStyle w:val="6"/>
              <w:spacing w:line="400" w:lineRule="exact"/>
              <w:jc w:val="center"/>
              <w:rPr>
                <w:rFonts w:hint="eastAsia" w:ascii="宋体" w:hAnsi="宋体" w:eastAsia="宋体" w:cs="宋体"/>
                <w:color w:val="auto"/>
                <w:kern w:val="0"/>
                <w:sz w:val="22"/>
                <w:szCs w:val="22"/>
                <w:lang w:eastAsia="zh-CN"/>
              </w:rPr>
            </w:pPr>
          </w:p>
        </w:tc>
        <w:tc>
          <w:tcPr>
            <w:tcW w:w="1383" w:type="dxa"/>
            <w:tcBorders>
              <w:top w:val="single" w:color="auto" w:sz="4" w:space="0"/>
              <w:left w:val="single" w:color="auto" w:sz="4" w:space="0"/>
              <w:bottom w:val="single" w:color="auto" w:sz="4" w:space="0"/>
              <w:right w:val="single" w:color="auto" w:sz="4" w:space="0"/>
            </w:tcBorders>
            <w:vAlign w:val="center"/>
          </w:tcPr>
          <w:p w14:paraId="39F4FDBF">
            <w:pPr>
              <w:pStyle w:val="33"/>
              <w:widowControl w:val="0"/>
              <w:numPr>
                <w:ilvl w:val="0"/>
                <w:numId w:val="0"/>
              </w:numPr>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投标技术方案</w:t>
            </w:r>
          </w:p>
          <w:p w14:paraId="09D58BAB">
            <w:pPr>
              <w:pStyle w:val="33"/>
              <w:widowControl w:val="0"/>
              <w:numPr>
                <w:ilvl w:val="0"/>
                <w:numId w:val="0"/>
              </w:numPr>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5分</w:t>
            </w:r>
            <w:r>
              <w:rPr>
                <w:rFonts w:hint="eastAsia" w:ascii="宋体" w:hAnsi="宋体" w:eastAsia="宋体" w:cs="宋体"/>
                <w:color w:val="auto"/>
                <w:sz w:val="22"/>
                <w:szCs w:val="22"/>
                <w:lang w:eastAsia="zh-CN"/>
              </w:rPr>
              <w:t>）</w:t>
            </w:r>
          </w:p>
        </w:tc>
        <w:tc>
          <w:tcPr>
            <w:tcW w:w="7296" w:type="dxa"/>
            <w:tcBorders>
              <w:top w:val="single" w:color="auto" w:sz="4" w:space="0"/>
              <w:left w:val="single" w:color="auto" w:sz="4" w:space="0"/>
              <w:bottom w:val="single" w:color="auto" w:sz="4" w:space="0"/>
              <w:right w:val="single" w:color="auto" w:sz="4" w:space="0"/>
            </w:tcBorders>
            <w:vAlign w:val="center"/>
          </w:tcPr>
          <w:p w14:paraId="14B70758">
            <w:pPr>
              <w:pStyle w:val="33"/>
              <w:widowControl w:val="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sz w:val="22"/>
                <w:szCs w:val="22"/>
              </w:rPr>
              <w:t>根据各投标人所提供的技术方案由评委进行综合评价，应包含所投产品选型合理性、产品适用性及先进性、技术方案深化的深度等。所提供的技术方案内容完整、可行性高的得</w:t>
            </w:r>
            <w:r>
              <w:rPr>
                <w:rFonts w:hint="eastAsia" w:ascii="宋体" w:hAnsi="宋体" w:eastAsia="宋体" w:cs="宋体"/>
                <w:color w:val="auto"/>
                <w:sz w:val="22"/>
                <w:szCs w:val="22"/>
                <w:lang w:val="en-US" w:eastAsia="zh-CN"/>
              </w:rPr>
              <w:t>4-5</w:t>
            </w:r>
            <w:r>
              <w:rPr>
                <w:rFonts w:hint="eastAsia" w:ascii="宋体" w:hAnsi="宋体" w:eastAsia="宋体" w:cs="宋体"/>
                <w:color w:val="auto"/>
                <w:sz w:val="22"/>
                <w:szCs w:val="22"/>
              </w:rPr>
              <w:t>分，内容基本完整、可行性一般的得</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分，内容不完整、可行性较差的得</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分，否则不得分。</w:t>
            </w:r>
          </w:p>
        </w:tc>
      </w:tr>
      <w:tr w14:paraId="5524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101" w:type="dxa"/>
            <w:vMerge w:val="continue"/>
            <w:tcBorders>
              <w:left w:val="single" w:color="auto" w:sz="4" w:space="0"/>
              <w:right w:val="single" w:color="auto" w:sz="4" w:space="0"/>
            </w:tcBorders>
            <w:vAlign w:val="center"/>
          </w:tcPr>
          <w:p w14:paraId="2A2F9C40">
            <w:pPr>
              <w:pStyle w:val="6"/>
              <w:spacing w:line="400" w:lineRule="exact"/>
              <w:jc w:val="center"/>
              <w:rPr>
                <w:rFonts w:hint="eastAsia" w:ascii="宋体" w:hAnsi="宋体" w:eastAsia="宋体" w:cs="宋体"/>
                <w:color w:val="auto"/>
                <w:kern w:val="0"/>
                <w:sz w:val="22"/>
                <w:szCs w:val="22"/>
                <w:lang w:eastAsia="zh-CN"/>
              </w:rPr>
            </w:pPr>
          </w:p>
        </w:tc>
        <w:tc>
          <w:tcPr>
            <w:tcW w:w="1383" w:type="dxa"/>
            <w:tcBorders>
              <w:top w:val="single" w:color="auto" w:sz="4" w:space="0"/>
              <w:left w:val="single" w:color="auto" w:sz="4" w:space="0"/>
              <w:bottom w:val="single" w:color="auto" w:sz="4" w:space="0"/>
              <w:right w:val="single" w:color="auto" w:sz="4" w:space="0"/>
            </w:tcBorders>
            <w:vAlign w:val="center"/>
          </w:tcPr>
          <w:p w14:paraId="1BB8A27D">
            <w:pPr>
              <w:pStyle w:val="33"/>
              <w:widowControl w:val="0"/>
              <w:numPr>
                <w:ilvl w:val="0"/>
                <w:numId w:val="0"/>
              </w:numPr>
              <w:ind w:left="0" w:leftChars="0" w:firstLine="0" w:firstLineChars="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施工组织方案</w:t>
            </w:r>
          </w:p>
          <w:p w14:paraId="68895D5E">
            <w:pPr>
              <w:pStyle w:val="33"/>
              <w:widowControl w:val="0"/>
              <w:numPr>
                <w:ilvl w:val="0"/>
                <w:numId w:val="0"/>
              </w:numPr>
              <w:ind w:left="0" w:leftChars="0" w:firstLine="0" w:firstLineChars="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5分</w:t>
            </w:r>
            <w:r>
              <w:rPr>
                <w:rFonts w:hint="eastAsia" w:ascii="宋体" w:hAnsi="宋体" w:eastAsia="宋体" w:cs="宋体"/>
                <w:color w:val="auto"/>
                <w:sz w:val="22"/>
                <w:szCs w:val="22"/>
                <w:lang w:eastAsia="zh-CN"/>
              </w:rPr>
              <w:t>）</w:t>
            </w:r>
          </w:p>
        </w:tc>
        <w:tc>
          <w:tcPr>
            <w:tcW w:w="7296" w:type="dxa"/>
            <w:tcBorders>
              <w:top w:val="single" w:color="auto" w:sz="4" w:space="0"/>
              <w:left w:val="single" w:color="auto" w:sz="4" w:space="0"/>
              <w:bottom w:val="single" w:color="auto" w:sz="4" w:space="0"/>
              <w:right w:val="single" w:color="auto" w:sz="4" w:space="0"/>
            </w:tcBorders>
            <w:vAlign w:val="center"/>
          </w:tcPr>
          <w:p w14:paraId="46E8548F">
            <w:pPr>
              <w:pStyle w:val="33"/>
              <w:widowControl w:val="0"/>
              <w:jc w:val="left"/>
              <w:rPr>
                <w:rFonts w:hint="eastAsia" w:ascii="宋体" w:hAnsi="宋体" w:eastAsia="宋体" w:cs="宋体"/>
                <w:color w:val="auto"/>
                <w:sz w:val="22"/>
                <w:szCs w:val="22"/>
              </w:rPr>
            </w:pPr>
            <w:r>
              <w:rPr>
                <w:rFonts w:hint="eastAsia" w:ascii="宋体" w:hAnsi="宋体" w:eastAsia="宋体" w:cs="宋体"/>
                <w:color w:val="auto"/>
                <w:sz w:val="22"/>
                <w:szCs w:val="22"/>
              </w:rPr>
              <w:t>根据各投标人所提供的施工组织方案由评委进行综合评价，应包含实施总体计划、项目施工重难点及措施等。所提供的施工组织方案内容完整、、可行性高的得</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-5分，内容基本完整可行性一般的得</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分内容不完整、可行性较差的得</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分，否则不得分。</w:t>
            </w:r>
          </w:p>
        </w:tc>
      </w:tr>
      <w:tr w14:paraId="3AFB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101" w:type="dxa"/>
            <w:vMerge w:val="continue"/>
            <w:tcBorders>
              <w:left w:val="single" w:color="auto" w:sz="4" w:space="0"/>
              <w:right w:val="single" w:color="auto" w:sz="4" w:space="0"/>
            </w:tcBorders>
            <w:vAlign w:val="center"/>
          </w:tcPr>
          <w:p w14:paraId="283B329E">
            <w:pPr>
              <w:pStyle w:val="6"/>
              <w:spacing w:line="400" w:lineRule="exact"/>
              <w:jc w:val="center"/>
              <w:rPr>
                <w:rFonts w:hint="eastAsia" w:ascii="宋体" w:hAnsi="宋体" w:eastAsia="宋体" w:cs="宋体"/>
                <w:color w:val="auto"/>
                <w:kern w:val="0"/>
                <w:sz w:val="22"/>
                <w:szCs w:val="22"/>
                <w:lang w:val="en-US" w:eastAsia="zh-CN"/>
              </w:rPr>
            </w:pPr>
          </w:p>
        </w:tc>
        <w:tc>
          <w:tcPr>
            <w:tcW w:w="1383" w:type="dxa"/>
            <w:tcBorders>
              <w:top w:val="single" w:color="auto" w:sz="4" w:space="0"/>
              <w:left w:val="single" w:color="auto" w:sz="4" w:space="0"/>
              <w:bottom w:val="single" w:color="auto" w:sz="4" w:space="0"/>
              <w:right w:val="single" w:color="auto" w:sz="4" w:space="0"/>
            </w:tcBorders>
            <w:vAlign w:val="center"/>
          </w:tcPr>
          <w:p w14:paraId="67F482BD">
            <w:pPr>
              <w:pStyle w:val="33"/>
              <w:widowControl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安装调试方案</w:t>
            </w:r>
          </w:p>
          <w:p w14:paraId="6F8AD480">
            <w:pPr>
              <w:pStyle w:val="33"/>
              <w:widowControl w:val="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5分</w:t>
            </w:r>
            <w:r>
              <w:rPr>
                <w:rFonts w:hint="eastAsia" w:ascii="宋体" w:hAnsi="宋体" w:eastAsia="宋体" w:cs="宋体"/>
                <w:color w:val="auto"/>
                <w:sz w:val="22"/>
                <w:szCs w:val="22"/>
                <w:lang w:eastAsia="zh-CN"/>
              </w:rPr>
              <w:t>）</w:t>
            </w:r>
          </w:p>
        </w:tc>
        <w:tc>
          <w:tcPr>
            <w:tcW w:w="7296" w:type="dxa"/>
            <w:tcBorders>
              <w:top w:val="single" w:color="auto" w:sz="4" w:space="0"/>
              <w:left w:val="single" w:color="auto" w:sz="4" w:space="0"/>
              <w:bottom w:val="single" w:color="auto" w:sz="4" w:space="0"/>
              <w:right w:val="single" w:color="auto" w:sz="4" w:space="0"/>
            </w:tcBorders>
            <w:vAlign w:val="center"/>
          </w:tcPr>
          <w:p w14:paraId="76B5DA22">
            <w:pPr>
              <w:pStyle w:val="33"/>
              <w:widowControl w:val="0"/>
              <w:jc w:val="left"/>
              <w:rPr>
                <w:rFonts w:hint="eastAsia" w:ascii="宋体" w:hAnsi="宋体" w:eastAsia="宋体" w:cs="宋体"/>
                <w:color w:val="auto"/>
                <w:kern w:val="0"/>
                <w:sz w:val="22"/>
                <w:szCs w:val="22"/>
              </w:rPr>
            </w:pPr>
            <w:r>
              <w:rPr>
                <w:rFonts w:hint="eastAsia" w:ascii="宋体" w:hAnsi="宋体" w:eastAsia="宋体" w:cs="宋体"/>
                <w:color w:val="auto"/>
                <w:sz w:val="22"/>
                <w:szCs w:val="22"/>
              </w:rPr>
              <w:t>根据各投标人所提供的安装调试方案由评委进行综合评价，应包含安装前期准备、安装方案、调试方案、验收方案、移交培训方案等。所提供的技术方案内容完整、可行性高的得</w:t>
            </w:r>
            <w:r>
              <w:rPr>
                <w:rFonts w:hint="eastAsia" w:ascii="宋体" w:hAnsi="宋体" w:eastAsia="宋体" w:cs="宋体"/>
                <w:color w:val="auto"/>
                <w:sz w:val="22"/>
                <w:szCs w:val="22"/>
                <w:lang w:val="en-US" w:eastAsia="zh-CN"/>
              </w:rPr>
              <w:t>4-5</w:t>
            </w:r>
            <w:r>
              <w:rPr>
                <w:rFonts w:hint="eastAsia" w:ascii="宋体" w:hAnsi="宋体" w:eastAsia="宋体" w:cs="宋体"/>
                <w:color w:val="auto"/>
                <w:sz w:val="22"/>
                <w:szCs w:val="22"/>
              </w:rPr>
              <w:t>分，内容基本完整、可行性一般的得</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分，内容不完整、可行性较差的得1分，否则不得分。</w:t>
            </w:r>
          </w:p>
        </w:tc>
      </w:tr>
      <w:tr w14:paraId="1A73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101" w:type="dxa"/>
            <w:vMerge w:val="continue"/>
            <w:tcBorders>
              <w:left w:val="single" w:color="auto" w:sz="4" w:space="0"/>
              <w:right w:val="single" w:color="auto" w:sz="4" w:space="0"/>
            </w:tcBorders>
            <w:vAlign w:val="center"/>
          </w:tcPr>
          <w:p w14:paraId="122318AB">
            <w:pPr>
              <w:pStyle w:val="6"/>
              <w:spacing w:line="400" w:lineRule="exact"/>
              <w:jc w:val="center"/>
              <w:rPr>
                <w:rFonts w:hint="eastAsia" w:ascii="宋体" w:hAnsi="宋体" w:eastAsia="宋体" w:cs="宋体"/>
                <w:color w:val="auto"/>
                <w:kern w:val="0"/>
                <w:sz w:val="22"/>
                <w:szCs w:val="22"/>
                <w:lang w:val="en-US" w:eastAsia="zh-CN"/>
              </w:rPr>
            </w:pPr>
          </w:p>
        </w:tc>
        <w:tc>
          <w:tcPr>
            <w:tcW w:w="1383" w:type="dxa"/>
            <w:tcBorders>
              <w:top w:val="single" w:color="auto" w:sz="4" w:space="0"/>
              <w:left w:val="single" w:color="auto" w:sz="4" w:space="0"/>
              <w:bottom w:val="single" w:color="auto" w:sz="4" w:space="0"/>
              <w:right w:val="single" w:color="auto" w:sz="4" w:space="0"/>
            </w:tcBorders>
            <w:vAlign w:val="center"/>
          </w:tcPr>
          <w:p w14:paraId="1BD72A24">
            <w:pPr>
              <w:pStyle w:val="33"/>
              <w:widowControl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售后服务方案</w:t>
            </w:r>
          </w:p>
          <w:p w14:paraId="1CC890DB">
            <w:pPr>
              <w:pStyle w:val="33"/>
              <w:widowControl w:val="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5分</w:t>
            </w:r>
            <w:r>
              <w:rPr>
                <w:rFonts w:hint="eastAsia" w:ascii="宋体" w:hAnsi="宋体" w:eastAsia="宋体" w:cs="宋体"/>
                <w:color w:val="auto"/>
                <w:sz w:val="22"/>
                <w:szCs w:val="22"/>
                <w:lang w:eastAsia="zh-CN"/>
              </w:rPr>
              <w:t>）</w:t>
            </w:r>
          </w:p>
        </w:tc>
        <w:tc>
          <w:tcPr>
            <w:tcW w:w="7296" w:type="dxa"/>
            <w:tcBorders>
              <w:top w:val="single" w:color="auto" w:sz="4" w:space="0"/>
              <w:left w:val="single" w:color="auto" w:sz="4" w:space="0"/>
              <w:bottom w:val="single" w:color="auto" w:sz="4" w:space="0"/>
              <w:right w:val="single" w:color="auto" w:sz="4" w:space="0"/>
            </w:tcBorders>
            <w:vAlign w:val="center"/>
          </w:tcPr>
          <w:p w14:paraId="11B7A0A1">
            <w:pPr>
              <w:pStyle w:val="33"/>
              <w:widowControl w:val="0"/>
              <w:jc w:val="left"/>
              <w:rPr>
                <w:rFonts w:hint="eastAsia" w:ascii="宋体" w:hAnsi="宋体" w:eastAsia="宋体" w:cs="宋体"/>
                <w:color w:val="auto"/>
                <w:kern w:val="0"/>
                <w:sz w:val="22"/>
                <w:szCs w:val="22"/>
              </w:rPr>
            </w:pPr>
            <w:r>
              <w:rPr>
                <w:rFonts w:hint="eastAsia" w:ascii="宋体" w:hAnsi="宋体" w:eastAsia="宋体" w:cs="宋体"/>
                <w:color w:val="auto"/>
                <w:sz w:val="22"/>
                <w:szCs w:val="22"/>
              </w:rPr>
              <w:t>根据各投标人所提供的售后服务方案由评委进行综合评价，应包含售后服务内容、售后服务承诺、售后服务标准等。所提供的技术方案内容完整、可行性高的得</w:t>
            </w:r>
            <w:r>
              <w:rPr>
                <w:rFonts w:hint="eastAsia" w:ascii="宋体" w:hAnsi="宋体" w:eastAsia="宋体" w:cs="宋体"/>
                <w:color w:val="auto"/>
                <w:sz w:val="22"/>
                <w:szCs w:val="22"/>
                <w:lang w:val="en-US" w:eastAsia="zh-CN"/>
              </w:rPr>
              <w:t>4-5</w:t>
            </w:r>
            <w:r>
              <w:rPr>
                <w:rFonts w:hint="eastAsia" w:ascii="宋体" w:hAnsi="宋体" w:eastAsia="宋体" w:cs="宋体"/>
                <w:color w:val="auto"/>
                <w:sz w:val="22"/>
                <w:szCs w:val="22"/>
              </w:rPr>
              <w:t>分，内容基本完整、可行性一般的得</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分，内容不完整、可行性较差的得1分，否则不得分。</w:t>
            </w:r>
          </w:p>
        </w:tc>
      </w:tr>
      <w:tr w14:paraId="52A6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101" w:type="dxa"/>
            <w:vMerge w:val="continue"/>
            <w:tcBorders>
              <w:left w:val="single" w:color="auto" w:sz="4" w:space="0"/>
              <w:right w:val="single" w:color="auto" w:sz="4" w:space="0"/>
            </w:tcBorders>
            <w:vAlign w:val="center"/>
          </w:tcPr>
          <w:p w14:paraId="1EE54731">
            <w:pPr>
              <w:pStyle w:val="6"/>
              <w:spacing w:line="400" w:lineRule="exact"/>
              <w:jc w:val="center"/>
              <w:rPr>
                <w:rFonts w:hint="eastAsia" w:ascii="宋体" w:hAnsi="宋体" w:eastAsia="宋体" w:cs="宋体"/>
                <w:color w:val="auto"/>
                <w:kern w:val="0"/>
                <w:sz w:val="22"/>
                <w:szCs w:val="22"/>
                <w:lang w:eastAsia="zh-CN"/>
              </w:rPr>
            </w:pPr>
          </w:p>
        </w:tc>
        <w:tc>
          <w:tcPr>
            <w:tcW w:w="1383" w:type="dxa"/>
            <w:tcBorders>
              <w:top w:val="single" w:color="auto" w:sz="4" w:space="0"/>
              <w:left w:val="single" w:color="auto" w:sz="4" w:space="0"/>
              <w:bottom w:val="single" w:color="auto" w:sz="4" w:space="0"/>
              <w:right w:val="single" w:color="auto" w:sz="4" w:space="0"/>
            </w:tcBorders>
            <w:vAlign w:val="center"/>
          </w:tcPr>
          <w:p w14:paraId="0305F2D5">
            <w:pPr>
              <w:pStyle w:val="33"/>
              <w:widowControl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质量保证措施</w:t>
            </w:r>
          </w:p>
          <w:p w14:paraId="62B43C16">
            <w:pPr>
              <w:pStyle w:val="33"/>
              <w:widowControl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5分</w:t>
            </w:r>
            <w:r>
              <w:rPr>
                <w:rFonts w:hint="eastAsia" w:ascii="宋体" w:hAnsi="宋体" w:eastAsia="宋体" w:cs="宋体"/>
                <w:color w:val="auto"/>
                <w:sz w:val="22"/>
                <w:szCs w:val="22"/>
                <w:lang w:eastAsia="zh-CN"/>
              </w:rPr>
              <w:t>）</w:t>
            </w:r>
          </w:p>
        </w:tc>
        <w:tc>
          <w:tcPr>
            <w:tcW w:w="7296" w:type="dxa"/>
            <w:tcBorders>
              <w:top w:val="single" w:color="auto" w:sz="4" w:space="0"/>
              <w:left w:val="single" w:color="auto" w:sz="4" w:space="0"/>
              <w:bottom w:val="single" w:color="auto" w:sz="4" w:space="0"/>
              <w:right w:val="single" w:color="auto" w:sz="4" w:space="0"/>
            </w:tcBorders>
            <w:vAlign w:val="center"/>
          </w:tcPr>
          <w:p w14:paraId="72681F71">
            <w:pPr>
              <w:pStyle w:val="33"/>
              <w:widowControl w:val="0"/>
              <w:jc w:val="left"/>
              <w:rPr>
                <w:rFonts w:hint="eastAsia" w:ascii="宋体" w:hAnsi="宋体" w:eastAsia="宋体" w:cs="宋体"/>
                <w:color w:val="auto"/>
                <w:kern w:val="0"/>
                <w:sz w:val="22"/>
                <w:szCs w:val="22"/>
                <w:lang w:eastAsia="zh-CN"/>
              </w:rPr>
            </w:pPr>
            <w:r>
              <w:rPr>
                <w:rFonts w:hint="eastAsia" w:ascii="宋体" w:hAnsi="宋体" w:eastAsia="宋体" w:cs="宋体"/>
                <w:color w:val="auto"/>
                <w:sz w:val="22"/>
                <w:szCs w:val="22"/>
              </w:rPr>
              <w:t>根据各投标人所提供的质量保证措施由评委进行综合评价，应包含质量保证措施、质量保证体系等。所提供的技术方案内容完整、可行性高的得</w:t>
            </w:r>
            <w:r>
              <w:rPr>
                <w:rFonts w:hint="eastAsia" w:ascii="宋体" w:hAnsi="宋体" w:eastAsia="宋体" w:cs="宋体"/>
                <w:color w:val="auto"/>
                <w:sz w:val="22"/>
                <w:szCs w:val="22"/>
                <w:lang w:val="en-US" w:eastAsia="zh-CN"/>
              </w:rPr>
              <w:t>4-5</w:t>
            </w:r>
            <w:r>
              <w:rPr>
                <w:rFonts w:hint="eastAsia" w:ascii="宋体" w:hAnsi="宋体" w:eastAsia="宋体" w:cs="宋体"/>
                <w:color w:val="auto"/>
                <w:sz w:val="22"/>
                <w:szCs w:val="22"/>
              </w:rPr>
              <w:t>分，内容基本完整、可行性一般的得</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分，内容不完整、可行性较差的得1分，否则不得分。</w:t>
            </w:r>
          </w:p>
        </w:tc>
      </w:tr>
      <w:tr w14:paraId="7027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101" w:type="dxa"/>
            <w:vMerge w:val="continue"/>
            <w:tcBorders>
              <w:left w:val="single" w:color="auto" w:sz="4" w:space="0"/>
              <w:right w:val="single" w:color="auto" w:sz="4" w:space="0"/>
            </w:tcBorders>
            <w:vAlign w:val="center"/>
          </w:tcPr>
          <w:p w14:paraId="35350936">
            <w:pPr>
              <w:pStyle w:val="6"/>
              <w:spacing w:line="400" w:lineRule="exact"/>
              <w:jc w:val="center"/>
              <w:rPr>
                <w:rFonts w:hint="eastAsia" w:ascii="宋体" w:hAnsi="宋体" w:eastAsia="宋体" w:cs="宋体"/>
                <w:color w:val="auto"/>
                <w:sz w:val="22"/>
                <w:szCs w:val="22"/>
                <w:lang w:eastAsia="zh-CN"/>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14:paraId="79A8E041">
            <w:pPr>
              <w:pStyle w:val="33"/>
              <w:widowControl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业绩</w:t>
            </w:r>
          </w:p>
          <w:p w14:paraId="1B216D1A">
            <w:pPr>
              <w:pStyle w:val="33"/>
              <w:widowControl w:val="0"/>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3分</w:t>
            </w:r>
            <w:r>
              <w:rPr>
                <w:rFonts w:hint="eastAsia" w:ascii="宋体" w:hAnsi="宋体" w:eastAsia="宋体" w:cs="宋体"/>
                <w:color w:val="auto"/>
                <w:sz w:val="22"/>
                <w:szCs w:val="22"/>
                <w:lang w:eastAsia="zh-CN"/>
              </w:rPr>
              <w:t>）</w:t>
            </w:r>
          </w:p>
        </w:tc>
        <w:tc>
          <w:tcPr>
            <w:tcW w:w="7296" w:type="dxa"/>
            <w:tcBorders>
              <w:top w:val="single" w:color="auto" w:sz="4" w:space="0"/>
              <w:left w:val="single" w:color="auto" w:sz="4" w:space="0"/>
              <w:bottom w:val="single" w:color="auto" w:sz="4" w:space="0"/>
              <w:right w:val="single" w:color="auto" w:sz="4" w:space="0"/>
            </w:tcBorders>
            <w:shd w:val="clear" w:color="auto" w:fill="auto"/>
            <w:vAlign w:val="center"/>
          </w:tcPr>
          <w:p w14:paraId="5BF6653D">
            <w:pPr>
              <w:pStyle w:val="33"/>
              <w:widowControl w:val="0"/>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投标人自 202</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年 1 月 1 日（含当日）至本招标项目截止时间止，每完成同类项目的1个得1分，共3分。（同类项目业绩指一体化泵站的供货业绩，投标人应提交相关业绩的合同等证明材料的扫描件。业绩时间以合同签订时间为准，且同一业绩不重复得分。（满分3分）</w:t>
            </w:r>
          </w:p>
        </w:tc>
      </w:tr>
      <w:tr w14:paraId="1377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101" w:type="dxa"/>
            <w:vMerge w:val="continue"/>
            <w:tcBorders>
              <w:left w:val="single" w:color="auto" w:sz="4" w:space="0"/>
              <w:right w:val="single" w:color="auto" w:sz="4" w:space="0"/>
            </w:tcBorders>
            <w:vAlign w:val="center"/>
          </w:tcPr>
          <w:p w14:paraId="47E63D5B">
            <w:pPr>
              <w:pStyle w:val="6"/>
              <w:spacing w:line="400" w:lineRule="exact"/>
              <w:jc w:val="center"/>
              <w:rPr>
                <w:rFonts w:hint="eastAsia" w:ascii="宋体" w:hAnsi="宋体" w:eastAsia="宋体" w:cs="宋体"/>
                <w:color w:val="auto"/>
                <w:kern w:val="0"/>
                <w:sz w:val="22"/>
                <w:szCs w:val="22"/>
                <w:lang w:eastAsia="zh-CN"/>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14:paraId="67DB25A3">
            <w:pPr>
              <w:pStyle w:val="33"/>
              <w:widowControl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综合实力</w:t>
            </w:r>
          </w:p>
          <w:p w14:paraId="1E30D670">
            <w:pPr>
              <w:pStyle w:val="33"/>
              <w:widowControl w:val="0"/>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2分</w:t>
            </w:r>
            <w:r>
              <w:rPr>
                <w:rFonts w:hint="eastAsia" w:ascii="宋体" w:hAnsi="宋体" w:eastAsia="宋体" w:cs="宋体"/>
                <w:color w:val="auto"/>
                <w:sz w:val="22"/>
                <w:szCs w:val="22"/>
                <w:lang w:eastAsia="zh-CN"/>
              </w:rPr>
              <w:t>）</w:t>
            </w:r>
          </w:p>
        </w:tc>
        <w:tc>
          <w:tcPr>
            <w:tcW w:w="7296" w:type="dxa"/>
            <w:tcBorders>
              <w:top w:val="single" w:color="auto" w:sz="4" w:space="0"/>
              <w:left w:val="single" w:color="auto" w:sz="4" w:space="0"/>
              <w:bottom w:val="single" w:color="auto" w:sz="4" w:space="0"/>
              <w:right w:val="single" w:color="auto" w:sz="4" w:space="0"/>
            </w:tcBorders>
            <w:shd w:val="clear" w:color="auto" w:fill="auto"/>
            <w:vAlign w:val="center"/>
          </w:tcPr>
          <w:p w14:paraId="1069F454">
            <w:pPr>
              <w:pStyle w:val="33"/>
              <w:widowControl w:val="0"/>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投标人</w:t>
            </w:r>
            <w:r>
              <w:rPr>
                <w:rFonts w:hint="eastAsia" w:ascii="宋体" w:hAnsi="宋体" w:eastAsia="宋体" w:cs="宋体"/>
                <w:color w:val="auto"/>
                <w:sz w:val="22"/>
                <w:szCs w:val="22"/>
                <w:lang w:eastAsia="zh-CN"/>
              </w:rPr>
              <w:t>（若为代理商需提供厂家授权委托证明）</w:t>
            </w:r>
            <w:r>
              <w:rPr>
                <w:rFonts w:hint="eastAsia" w:ascii="宋体" w:hAnsi="宋体" w:eastAsia="宋体" w:cs="宋体"/>
                <w:color w:val="auto"/>
                <w:sz w:val="22"/>
                <w:szCs w:val="22"/>
              </w:rPr>
              <w:t>同时具有ISO9001质量管理体系认证证书、ISO14001环境管理体系认证证书、ISO45001职业健康与安全体系管理体系认证证并符合国家标准（认证范围包含本项目核心产品泵站），满足要求得2分，提供相关证书复印件加盖公章，否则不得分。</w:t>
            </w:r>
          </w:p>
        </w:tc>
      </w:tr>
      <w:tr w14:paraId="6B42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1" w:type="dxa"/>
            <w:vMerge w:val="continue"/>
            <w:tcBorders>
              <w:left w:val="single" w:color="auto" w:sz="4" w:space="0"/>
              <w:right w:val="single" w:color="auto" w:sz="4" w:space="0"/>
            </w:tcBorders>
            <w:vAlign w:val="center"/>
          </w:tcPr>
          <w:p w14:paraId="36D325A3">
            <w:pPr>
              <w:pStyle w:val="6"/>
              <w:spacing w:line="400" w:lineRule="exact"/>
              <w:jc w:val="center"/>
              <w:rPr>
                <w:rFonts w:hint="eastAsia" w:ascii="宋体" w:hAnsi="宋体" w:eastAsia="宋体" w:cs="宋体"/>
                <w:color w:val="auto"/>
                <w:kern w:val="0"/>
                <w:sz w:val="22"/>
                <w:szCs w:val="22"/>
                <w:lang w:eastAsia="zh-CN"/>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14:paraId="51F3AF88">
            <w:pPr>
              <w:pStyle w:val="33"/>
              <w:widowControl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企业实力</w:t>
            </w:r>
          </w:p>
          <w:p w14:paraId="20B06DEF">
            <w:pPr>
              <w:pStyle w:val="33"/>
              <w:widowControl w:val="0"/>
              <w:jc w:val="center"/>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2分</w:t>
            </w:r>
            <w:r>
              <w:rPr>
                <w:rFonts w:hint="eastAsia" w:ascii="宋体" w:hAnsi="宋体" w:eastAsia="宋体" w:cs="宋体"/>
                <w:color w:val="auto"/>
                <w:sz w:val="22"/>
                <w:szCs w:val="22"/>
                <w:lang w:eastAsia="zh-CN"/>
              </w:rPr>
              <w:t>）</w:t>
            </w:r>
          </w:p>
        </w:tc>
        <w:tc>
          <w:tcPr>
            <w:tcW w:w="7296" w:type="dxa"/>
            <w:tcBorders>
              <w:top w:val="single" w:color="auto" w:sz="4" w:space="0"/>
              <w:left w:val="single" w:color="auto" w:sz="4" w:space="0"/>
              <w:bottom w:val="single" w:color="auto" w:sz="4" w:space="0"/>
              <w:right w:val="single" w:color="auto" w:sz="4" w:space="0"/>
            </w:tcBorders>
            <w:shd w:val="clear" w:color="auto" w:fill="auto"/>
            <w:vAlign w:val="center"/>
          </w:tcPr>
          <w:p w14:paraId="463164EF">
            <w:pPr>
              <w:pStyle w:val="33"/>
              <w:widowControl w:val="0"/>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投标人</w:t>
            </w:r>
            <w:r>
              <w:rPr>
                <w:rFonts w:hint="eastAsia" w:ascii="宋体" w:hAnsi="宋体" w:eastAsia="宋体" w:cs="宋体"/>
                <w:color w:val="auto"/>
                <w:sz w:val="22"/>
                <w:szCs w:val="22"/>
                <w:lang w:eastAsia="zh-CN"/>
              </w:rPr>
              <w:t>（若为代理商需提供厂家授权委托证明）</w:t>
            </w:r>
            <w:r>
              <w:rPr>
                <w:rFonts w:hint="eastAsia" w:ascii="宋体" w:hAnsi="宋体" w:eastAsia="宋体" w:cs="宋体"/>
                <w:color w:val="auto"/>
                <w:sz w:val="22"/>
                <w:szCs w:val="22"/>
              </w:rPr>
              <w:t>具备省级高新技术企业证书的得2分，投标时提供有效期内的高新技术企业证书，否则不得分。</w:t>
            </w:r>
          </w:p>
        </w:tc>
      </w:tr>
      <w:tr w14:paraId="6B49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101" w:type="dxa"/>
            <w:vMerge w:val="continue"/>
            <w:tcBorders>
              <w:left w:val="single" w:color="auto" w:sz="4" w:space="0"/>
              <w:right w:val="single" w:color="auto" w:sz="4" w:space="0"/>
            </w:tcBorders>
            <w:vAlign w:val="center"/>
          </w:tcPr>
          <w:p w14:paraId="726D2358">
            <w:pPr>
              <w:pStyle w:val="6"/>
              <w:spacing w:line="400" w:lineRule="exact"/>
              <w:jc w:val="center"/>
              <w:rPr>
                <w:rFonts w:hint="eastAsia" w:ascii="宋体" w:hAnsi="宋体" w:eastAsia="宋体" w:cs="宋体"/>
                <w:color w:val="auto"/>
                <w:kern w:val="0"/>
                <w:sz w:val="22"/>
                <w:szCs w:val="22"/>
                <w:lang w:eastAsia="zh-CN"/>
              </w:rPr>
            </w:pPr>
          </w:p>
        </w:tc>
        <w:tc>
          <w:tcPr>
            <w:tcW w:w="1383" w:type="dxa"/>
            <w:tcBorders>
              <w:top w:val="single" w:color="auto" w:sz="4" w:space="0"/>
              <w:left w:val="single" w:color="auto" w:sz="4" w:space="0"/>
              <w:right w:val="single" w:color="auto" w:sz="4" w:space="0"/>
            </w:tcBorders>
            <w:shd w:val="clear" w:color="auto" w:fill="auto"/>
            <w:vAlign w:val="center"/>
          </w:tcPr>
          <w:p w14:paraId="3810DAAF">
            <w:pPr>
              <w:pStyle w:val="33"/>
              <w:widowControl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本地化服务能力</w:t>
            </w:r>
          </w:p>
          <w:p w14:paraId="5124EA15">
            <w:pPr>
              <w:pStyle w:val="33"/>
              <w:widowControl w:val="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3分</w:t>
            </w:r>
            <w:r>
              <w:rPr>
                <w:rFonts w:hint="eastAsia" w:ascii="宋体" w:hAnsi="宋体" w:eastAsia="宋体" w:cs="宋体"/>
                <w:color w:val="auto"/>
                <w:sz w:val="22"/>
                <w:szCs w:val="22"/>
                <w:lang w:eastAsia="zh-CN"/>
              </w:rPr>
              <w:t>）</w:t>
            </w:r>
          </w:p>
        </w:tc>
        <w:tc>
          <w:tcPr>
            <w:tcW w:w="7296" w:type="dxa"/>
            <w:tcBorders>
              <w:top w:val="single" w:color="auto" w:sz="4" w:space="0"/>
              <w:left w:val="single" w:color="auto" w:sz="4" w:space="0"/>
              <w:bottom w:val="single" w:color="auto" w:sz="4" w:space="0"/>
              <w:right w:val="single" w:color="auto" w:sz="4" w:space="0"/>
            </w:tcBorders>
            <w:shd w:val="clear" w:color="auto" w:fill="auto"/>
            <w:vAlign w:val="center"/>
          </w:tcPr>
          <w:p w14:paraId="6274FCD5">
            <w:pPr>
              <w:pStyle w:val="33"/>
              <w:widowControl w:val="0"/>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投标人需在设备发生故障后10内分钟响应、30分钟内给出解决方案、60分钟内到达项目现场，为确保售后服务的及时性，投标人在项目地（扬州市邗江区）内或周边60分钟车程范围内有分公司或办事处等本地服务点，同时配备专用售后车辆的得3分，否则不得分。提供售后服务响应时间承诺、有效的服务点房产证或租赁合同以及车辆照片材料。</w:t>
            </w:r>
          </w:p>
        </w:tc>
      </w:tr>
    </w:tbl>
    <w:p w14:paraId="2593EF8C">
      <w:pPr>
        <w:autoSpaceDE w:val="0"/>
        <w:autoSpaceDN w:val="0"/>
        <w:adjustRightInd w:val="0"/>
        <w:snapToGrid w:val="0"/>
        <w:spacing w:line="480" w:lineRule="exact"/>
        <w:ind w:firstLine="422" w:firstLineChars="200"/>
        <w:rPr>
          <w:rFonts w:hint="eastAsia" w:ascii="宋体" w:hAnsi="宋体"/>
          <w:b/>
          <w:color w:val="auto"/>
          <w:szCs w:val="21"/>
        </w:rPr>
      </w:pPr>
      <w:r>
        <w:rPr>
          <w:rFonts w:hint="eastAsia" w:ascii="宋体" w:hAnsi="宋体"/>
          <w:b/>
          <w:color w:val="auto"/>
          <w:szCs w:val="21"/>
          <w:lang w:val="en-US" w:eastAsia="zh-CN"/>
        </w:rPr>
        <w:t>九、</w:t>
      </w:r>
      <w:r>
        <w:rPr>
          <w:rFonts w:hint="eastAsia" w:ascii="宋体" w:hAnsi="宋体"/>
          <w:b/>
          <w:color w:val="auto"/>
          <w:szCs w:val="21"/>
        </w:rPr>
        <w:t xml:space="preserve">定标 </w:t>
      </w:r>
    </w:p>
    <w:p w14:paraId="297F58AE">
      <w:pPr>
        <w:pStyle w:val="15"/>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评标委员会完成评标后，应当向招标人提出书面评标报告，阐明评标委员会对各投标文件的评审和比较意见，并按照招标文件中规定的评标方法，推荐3名有排序的合格中标候选人。 </w:t>
      </w:r>
    </w:p>
    <w:p w14:paraId="783984FB">
      <w:pPr>
        <w:pStyle w:val="15"/>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9.1</w:t>
      </w:r>
      <w:r>
        <w:rPr>
          <w:rFonts w:hint="eastAsia" w:ascii="宋体" w:hAnsi="宋体" w:cs="宋体"/>
          <w:color w:val="auto"/>
          <w:sz w:val="21"/>
          <w:szCs w:val="21"/>
          <w:shd w:val="clear" w:color="auto" w:fill="FFFFFF"/>
        </w:rPr>
        <w:t xml:space="preserve">排序原则： </w:t>
      </w:r>
    </w:p>
    <w:p w14:paraId="126458BC">
      <w:pPr>
        <w:pStyle w:val="15"/>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9.2</w:t>
      </w:r>
      <w:r>
        <w:rPr>
          <w:rFonts w:hint="eastAsia" w:ascii="宋体" w:hAnsi="宋体" w:cs="宋体"/>
          <w:color w:val="auto"/>
          <w:sz w:val="21"/>
          <w:szCs w:val="21"/>
          <w:shd w:val="clear" w:color="auto" w:fill="FFFFFF"/>
        </w:rPr>
        <w:t xml:space="preserve">综合评分法： </w:t>
      </w:r>
    </w:p>
    <w:p w14:paraId="5BF0E8E7">
      <w:pPr>
        <w:pStyle w:val="15"/>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（1）按评分分数高低从高到低进行排序； </w:t>
      </w:r>
    </w:p>
    <w:p w14:paraId="2233C3AB">
      <w:pPr>
        <w:pStyle w:val="15"/>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（2）当评分分数相同时，由评标委员会决定； </w:t>
      </w:r>
    </w:p>
    <w:p w14:paraId="20BC7B1D">
      <w:pPr>
        <w:pStyle w:val="15"/>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9.3</w:t>
      </w:r>
      <w:r>
        <w:rPr>
          <w:rFonts w:hint="eastAsia" w:ascii="宋体" w:hAnsi="宋体" w:cs="宋体"/>
          <w:color w:val="auto"/>
          <w:sz w:val="21"/>
          <w:szCs w:val="21"/>
          <w:shd w:val="clear" w:color="auto" w:fill="FFFFFF"/>
        </w:rPr>
        <w:t>确定中标人的原则：</w:t>
      </w:r>
      <w:r>
        <w:rPr>
          <w:rFonts w:hint="eastAsia" w:ascii="宋体" w:hAnsi="宋体" w:cs="宋体"/>
          <w:color w:val="auto"/>
          <w:sz w:val="21"/>
          <w:szCs w:val="21"/>
          <w:shd w:val="clear" w:color="auto" w:fill="FFFFFF"/>
          <w:lang w:val="en-US" w:eastAsia="zh-CN"/>
        </w:rPr>
        <w:t>依法必须进行招标的项目，</w:t>
      </w:r>
      <w:r>
        <w:rPr>
          <w:rFonts w:hint="eastAsia" w:ascii="宋体" w:hAnsi="宋体" w:cs="宋体"/>
          <w:color w:val="auto"/>
          <w:sz w:val="21"/>
          <w:szCs w:val="21"/>
          <w:shd w:val="clear" w:color="auto" w:fill="FFFFFF"/>
        </w:rPr>
        <w:t>招标人按照评委会的书面评标报告中的中标候选人排序</w:t>
      </w:r>
      <w:r>
        <w:rPr>
          <w:rFonts w:hint="eastAsia" w:ascii="宋体" w:hAnsi="宋体" w:cs="宋体"/>
          <w:color w:val="auto"/>
          <w:sz w:val="21"/>
          <w:szCs w:val="21"/>
          <w:shd w:val="clear" w:color="auto" w:fill="FFFFFF"/>
          <w:lang w:val="en-US" w:eastAsia="zh-CN"/>
        </w:rPr>
        <w:t>,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color w:val="auto"/>
          <w:szCs w:val="21"/>
        </w:rPr>
      </w:pPr>
      <w:r>
        <w:rPr>
          <w:rFonts w:hint="eastAsia" w:ascii="宋体" w:hAnsi="宋体"/>
          <w:b/>
          <w:color w:val="auto"/>
          <w:szCs w:val="21"/>
          <w:lang w:eastAsia="zh-CN"/>
        </w:rPr>
        <w:t>十</w:t>
      </w:r>
      <w:r>
        <w:rPr>
          <w:rFonts w:hint="eastAsia" w:ascii="宋体" w:hAnsi="宋体"/>
          <w:b/>
          <w:color w:val="auto"/>
          <w:szCs w:val="21"/>
        </w:rPr>
        <w:t>、授予合同</w:t>
      </w:r>
    </w:p>
    <w:p w14:paraId="69C47117">
      <w:pPr>
        <w:pStyle w:val="15"/>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10.1根据工程招标投标的有关法律、法规、规章和该工程招标文件的规定，工作小组推荐排序第一名的中标候选人为中标人，未有质疑的，招标人将向中标单位发出中标通知书，并同时通知其他投标人，中标通知书将成为合同的组成部分。</w:t>
      </w:r>
    </w:p>
    <w:p w14:paraId="3CDAD7A0">
      <w:pPr>
        <w:pStyle w:val="15"/>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 xml:space="preserve">10.2中标单位收到中标通知书后，应在7日内与招标人签订合同。中标人不与招标人订立合同的，招标人有权取消其中标资格，由此给招标人造成的损失，应予以赔偿。 </w:t>
      </w:r>
    </w:p>
    <w:p w14:paraId="1E7F45EC">
      <w:pPr>
        <w:pStyle w:val="15"/>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10.3招标人与中标人将根据《中华人民共和国民法典》的规定，依据招标文件和投标文件签订书面合同。</w:t>
      </w:r>
    </w:p>
    <w:p w14:paraId="1AD4D15C">
      <w:pPr>
        <w:autoSpaceDE w:val="0"/>
        <w:autoSpaceDN w:val="0"/>
        <w:adjustRightInd w:val="0"/>
        <w:snapToGrid w:val="0"/>
        <w:spacing w:line="480" w:lineRule="exact"/>
        <w:ind w:firstLine="422" w:firstLineChars="200"/>
        <w:rPr>
          <w:rFonts w:ascii="宋体" w:hAnsi="宋体"/>
          <w:b/>
          <w:color w:val="auto"/>
          <w:szCs w:val="21"/>
        </w:rPr>
      </w:pPr>
      <w:r>
        <w:rPr>
          <w:rFonts w:hint="eastAsia" w:ascii="宋体" w:hAnsi="宋体"/>
          <w:b/>
          <w:color w:val="auto"/>
          <w:szCs w:val="21"/>
          <w:lang w:eastAsia="zh-CN"/>
        </w:rPr>
        <w:t>十一</w:t>
      </w:r>
      <w:r>
        <w:rPr>
          <w:rFonts w:hint="eastAsia" w:ascii="宋体" w:hAnsi="宋体"/>
          <w:b/>
          <w:color w:val="auto"/>
          <w:szCs w:val="21"/>
        </w:rPr>
        <w:t>、主要合同条款：</w:t>
      </w:r>
    </w:p>
    <w:p w14:paraId="6371A238">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①产品名称、数量（按实际结算）、单价（含运费）、供货时间。</w:t>
      </w:r>
    </w:p>
    <w:p w14:paraId="0F69475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②供货方对质量负责的条件和期限。</w:t>
      </w:r>
    </w:p>
    <w:p w14:paraId="329A81A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③交货地点、方式（按需方要求分期分批运至扬州市上善建设工程有限公司指定地点）。</w:t>
      </w:r>
    </w:p>
    <w:p w14:paraId="7D8640B3">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④运输方式及到达站、港费用负担（供货方负担）。</w:t>
      </w:r>
    </w:p>
    <w:p w14:paraId="79A8CDFC">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⑤包装物的供应及回收包装标准。</w:t>
      </w:r>
    </w:p>
    <w:p w14:paraId="6D54F0A5">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color w:val="auto"/>
          <w:szCs w:val="21"/>
        </w:rPr>
        <w:t>⑥验收标准：</w:t>
      </w:r>
      <w:r>
        <w:rPr>
          <w:rFonts w:hint="eastAsia" w:asciiTheme="minorEastAsia" w:hAnsiTheme="minorEastAsia" w:cstheme="minorEastAsia"/>
          <w:color w:val="auto"/>
          <w:sz w:val="21"/>
          <w:szCs w:val="21"/>
        </w:rPr>
        <w:t>招标设备满足招标要求，</w:t>
      </w:r>
      <w:r>
        <w:rPr>
          <w:rFonts w:hint="eastAsia" w:ascii="宋体" w:hAnsi="宋体"/>
          <w:color w:val="auto"/>
          <w:sz w:val="21"/>
          <w:szCs w:val="21"/>
        </w:rPr>
        <w:t>由招标方验收员按照国家标准抽样验收。</w:t>
      </w:r>
      <w:r>
        <w:rPr>
          <w:rFonts w:hint="eastAsia" w:asciiTheme="minorEastAsia" w:hAnsiTheme="minorEastAsia" w:cstheme="minorEastAsia"/>
          <w:color w:val="auto"/>
          <w:sz w:val="21"/>
          <w:szCs w:val="21"/>
        </w:rPr>
        <w:t>所涉及的产品标准规范、工程标准规范、验收标准规范等完全满足中华人民共和国相关条例及规范，如出现两个标准不相符合时，按最高标准执行，且所有标准采用合同生效之日起的最新标准。</w:t>
      </w:r>
      <w:r>
        <w:rPr>
          <w:rFonts w:hint="eastAsia" w:ascii="宋体" w:hAnsi="宋体"/>
          <w:color w:val="auto"/>
          <w:sz w:val="21"/>
          <w:szCs w:val="21"/>
        </w:rPr>
        <w:t>若</w:t>
      </w:r>
      <w:r>
        <w:rPr>
          <w:rFonts w:hint="eastAsia" w:ascii="宋体" w:hAnsi="宋体"/>
          <w:color w:val="auto"/>
          <w:szCs w:val="21"/>
        </w:rPr>
        <w:t>达不到标准要求，所发生的一切后果及费用</w:t>
      </w:r>
      <w:r>
        <w:rPr>
          <w:rFonts w:hint="eastAsia" w:ascii="宋体" w:hAnsi="宋体" w:eastAsia="宋体" w:cs="Times New Roman"/>
          <w:color w:val="auto"/>
          <w:szCs w:val="21"/>
        </w:rPr>
        <w:t>由投标方承担。</w:t>
      </w:r>
    </w:p>
    <w:p w14:paraId="19EED702">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6.1</w:t>
      </w:r>
      <w:r>
        <w:rPr>
          <w:rFonts w:hint="eastAsia" w:ascii="宋体" w:hAnsi="宋体" w:eastAsia="宋体" w:cs="Times New Roman"/>
          <w:color w:val="auto"/>
          <w:szCs w:val="21"/>
        </w:rPr>
        <w:t>采用的规范、规程和工程验收标准</w:t>
      </w:r>
    </w:p>
    <w:p w14:paraId="15917D8F">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（1）《泵站设计规范》（GB/T50265-2010）；</w:t>
      </w:r>
    </w:p>
    <w:p w14:paraId="4F7F5032">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（2）《室外排水设计标准》（GB50014-2021）；</w:t>
      </w:r>
    </w:p>
    <w:p w14:paraId="7F7AF60A">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（3）《给水排水管道工程施工及验收规范》（GB50268-2008）；</w:t>
      </w:r>
    </w:p>
    <w:p w14:paraId="0516EE4C">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（4）《给水排水构筑物施工及验收规范》（GB50141-2008）；</w:t>
      </w:r>
    </w:p>
    <w:p w14:paraId="34592376">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（5）《一体化预制泵站应用技术规程》（CECS 407:2015）；</w:t>
      </w:r>
    </w:p>
    <w:p w14:paraId="5435C7A7">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（6）《给水排水工程构筑物结构设计规范》（GB50069-2012）；</w:t>
      </w:r>
    </w:p>
    <w:p w14:paraId="3FA72BCA">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（7）其他相关技术规范标准。</w:t>
      </w:r>
    </w:p>
    <w:p w14:paraId="3261ED88">
      <w:pPr>
        <w:autoSpaceDE w:val="0"/>
        <w:autoSpaceDN w:val="0"/>
        <w:adjustRightInd w:val="0"/>
        <w:snapToGrid w:val="0"/>
        <w:spacing w:line="480" w:lineRule="exact"/>
        <w:ind w:firstLine="630" w:firstLineChars="300"/>
        <w:rPr>
          <w:rFonts w:hint="eastAsia" w:ascii="宋体" w:hAnsi="宋体" w:eastAsia="宋体" w:cs="Times New Roman"/>
          <w:color w:val="auto"/>
          <w:szCs w:val="21"/>
        </w:rPr>
      </w:pPr>
      <w:r>
        <w:rPr>
          <w:rFonts w:hint="eastAsia" w:ascii="宋体" w:hAnsi="宋体" w:eastAsia="宋体" w:cs="Times New Roman"/>
          <w:color w:val="auto"/>
          <w:szCs w:val="21"/>
        </w:rPr>
        <w:t>⑦</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履约保证金</w:t>
      </w:r>
    </w:p>
    <w:p w14:paraId="55E85CB2">
      <w:pPr>
        <w:spacing w:line="360" w:lineRule="auto"/>
        <w:ind w:firstLine="630" w:firstLineChars="3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履约保证金收取：中标供应商在</w:t>
      </w:r>
      <w:r>
        <w:rPr>
          <w:rFonts w:hint="eastAsia" w:ascii="宋体" w:hAnsi="宋体" w:eastAsia="宋体" w:cs="宋体"/>
          <w:color w:val="auto"/>
          <w:szCs w:val="21"/>
          <w:highlight w:val="none"/>
          <w:lang w:eastAsia="zh-CN"/>
        </w:rPr>
        <w:t>领取中标通知书后</w:t>
      </w:r>
      <w:r>
        <w:rPr>
          <w:rFonts w:hint="eastAsia" w:ascii="宋体" w:hAnsi="宋体" w:eastAsia="宋体" w:cs="宋体"/>
          <w:color w:val="auto"/>
          <w:szCs w:val="21"/>
          <w:highlight w:val="none"/>
          <w:lang w:val="en-US" w:eastAsia="zh-CN"/>
        </w:rPr>
        <w:t>、合同签订之前</w:t>
      </w:r>
      <w:r>
        <w:rPr>
          <w:rFonts w:hint="eastAsia" w:ascii="宋体" w:hAnsi="宋体" w:eastAsia="宋体" w:cs="宋体"/>
          <w:color w:val="auto"/>
          <w:szCs w:val="21"/>
          <w:highlight w:val="none"/>
        </w:rPr>
        <w:t>须缴纳履约保证金人民币</w:t>
      </w:r>
      <w:r>
        <w:rPr>
          <w:rFonts w:hint="eastAsia" w:ascii="宋体" w:hAnsi="宋体" w:eastAsia="宋体" w:cs="宋体"/>
          <w:color w:val="auto"/>
          <w:szCs w:val="21"/>
          <w:highlight w:val="none"/>
          <w:lang w:val="en-US" w:eastAsia="zh-CN"/>
        </w:rPr>
        <w:t>50000</w:t>
      </w:r>
      <w:r>
        <w:rPr>
          <w:rFonts w:hint="eastAsia" w:ascii="宋体" w:hAnsi="宋体" w:eastAsia="宋体" w:cs="宋体"/>
          <w:color w:val="auto"/>
          <w:szCs w:val="21"/>
          <w:highlight w:val="none"/>
        </w:rPr>
        <w:t>元至采购人指定账户。履约保证金用以约束供应商在合同履行中的行为， 弥补合同执行中由于自身行为可能给采购人带来的各种损失。如果中标供应商不同意按照规定去做，</w:t>
      </w:r>
      <w:r>
        <w:rPr>
          <w:rFonts w:hint="eastAsia" w:ascii="宋体" w:hAnsi="宋体" w:cs="宋体"/>
          <w:color w:val="auto"/>
          <w:szCs w:val="21"/>
          <w:highlight w:val="none"/>
          <w:u w:val="single"/>
          <w:lang w:eastAsia="zh-CN"/>
        </w:rPr>
        <w:t>招标单位</w:t>
      </w:r>
      <w:r>
        <w:rPr>
          <w:rFonts w:hint="eastAsia" w:ascii="宋体" w:hAnsi="宋体" w:eastAsia="宋体" w:cs="宋体"/>
          <w:color w:val="auto"/>
          <w:szCs w:val="21"/>
          <w:highlight w:val="none"/>
        </w:rPr>
        <w:t>有权取消本次采购中标决定。</w:t>
      </w:r>
    </w:p>
    <w:p w14:paraId="14F22FF0">
      <w:pPr>
        <w:spacing w:line="360" w:lineRule="auto"/>
        <w:ind w:firstLine="630" w:firstLineChars="300"/>
        <w:rPr>
          <w:rFonts w:hint="eastAsia" w:ascii="宋体" w:hAnsi="宋体"/>
          <w:color w:val="auto"/>
          <w:szCs w:val="21"/>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履约保证金的退还：项目</w:t>
      </w:r>
      <w:r>
        <w:rPr>
          <w:rFonts w:hint="eastAsia" w:ascii="宋体" w:hAnsi="宋体" w:eastAsia="宋体" w:cs="宋体"/>
          <w:color w:val="auto"/>
          <w:szCs w:val="21"/>
          <w:highlight w:val="none"/>
          <w:lang w:eastAsia="zh-CN"/>
        </w:rPr>
        <w:t>全部</w:t>
      </w:r>
      <w:r>
        <w:rPr>
          <w:rFonts w:hint="eastAsia" w:ascii="宋体" w:hAnsi="宋体" w:eastAsia="宋体" w:cs="宋体"/>
          <w:color w:val="auto"/>
          <w:szCs w:val="21"/>
          <w:highlight w:val="none"/>
        </w:rPr>
        <w:t>供货完成后，中标人凭采购人签署的项目验收单，办理履约保证金退还手续，不计息。</w:t>
      </w:r>
    </w:p>
    <w:p w14:paraId="27D58C41">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jc w:val="both"/>
        <w:textAlignment w:val="auto"/>
        <w:rPr>
          <w:rFonts w:hint="default" w:ascii="宋体" w:hAnsi="宋体"/>
          <w:color w:val="auto"/>
          <w:szCs w:val="21"/>
          <w:u w:val="single"/>
          <w:lang w:val="en-US" w:eastAsia="zh-CN"/>
        </w:rPr>
      </w:pPr>
      <w:r>
        <w:rPr>
          <w:rFonts w:hint="eastAsia" w:ascii="宋体" w:hAnsi="宋体"/>
          <w:color w:val="auto"/>
          <w:szCs w:val="21"/>
        </w:rPr>
        <w:t>⑧结算方式及期限：</w:t>
      </w:r>
      <w:r>
        <w:rPr>
          <w:rFonts w:hint="eastAsia" w:ascii="宋体" w:hAnsi="宋体"/>
          <w:color w:val="auto"/>
          <w:szCs w:val="21"/>
          <w:u w:val="single"/>
          <w:lang w:eastAsia="zh-CN"/>
        </w:rPr>
        <w:t>货到现场经验收后付至</w:t>
      </w:r>
      <w:r>
        <w:rPr>
          <w:rFonts w:hint="eastAsia" w:ascii="宋体" w:hAnsi="宋体"/>
          <w:color w:val="auto"/>
          <w:szCs w:val="21"/>
          <w:u w:val="single"/>
          <w:lang w:val="en-US" w:eastAsia="zh-CN"/>
        </w:rPr>
        <w:t>20%（不超过合同价的20%），</w:t>
      </w:r>
      <w:r>
        <w:rPr>
          <w:rFonts w:hint="eastAsia" w:ascii="宋体" w:hAnsi="宋体"/>
          <w:color w:val="auto"/>
          <w:szCs w:val="21"/>
          <w:u w:val="single"/>
          <w:lang w:eastAsia="zh-CN"/>
        </w:rPr>
        <w:t>安装调试结束且经跟踪审计审核合格后付至实际供货量的</w:t>
      </w:r>
      <w:r>
        <w:rPr>
          <w:rFonts w:hint="eastAsia" w:ascii="宋体" w:hAnsi="宋体"/>
          <w:color w:val="auto"/>
          <w:szCs w:val="21"/>
          <w:u w:val="single"/>
          <w:lang w:val="en-US" w:eastAsia="zh-CN"/>
        </w:rPr>
        <w:t>50%（不超过合同价的50%），工程竣工验收合格后付至实际供货量的80%（不超过合同价的80%），工程审计结束后付至实际供货量的97%，二年质保期满后，付清尾款3%（无息）。</w:t>
      </w:r>
    </w:p>
    <w:p w14:paraId="17C9D27B">
      <w:pPr>
        <w:autoSpaceDE w:val="0"/>
        <w:autoSpaceDN w:val="0"/>
        <w:adjustRightInd w:val="0"/>
        <w:snapToGrid w:val="0"/>
        <w:spacing w:line="480" w:lineRule="exact"/>
        <w:ind w:firstLine="420" w:firstLineChars="200"/>
        <w:rPr>
          <w:rFonts w:hint="eastAsia" w:ascii="宋体" w:hAnsi="宋体"/>
          <w:color w:val="auto"/>
          <w:szCs w:val="21"/>
        </w:rPr>
      </w:pPr>
      <w:r>
        <w:rPr>
          <w:rFonts w:hint="eastAsia" w:ascii="宋体" w:hAnsi="宋体"/>
          <w:color w:val="auto"/>
          <w:szCs w:val="21"/>
        </w:rPr>
        <w:t>⑨违约责任。</w:t>
      </w:r>
    </w:p>
    <w:p w14:paraId="00CA73D2">
      <w:pPr>
        <w:autoSpaceDE w:val="0"/>
        <w:autoSpaceDN w:val="0"/>
        <w:adjustRightInd w:val="0"/>
        <w:snapToGrid w:val="0"/>
        <w:spacing w:line="480" w:lineRule="exact"/>
        <w:ind w:firstLine="420" w:firstLineChars="200"/>
        <w:rPr>
          <w:rFonts w:ascii="宋体" w:hAnsi="宋体"/>
          <w:color w:val="auto"/>
          <w:szCs w:val="21"/>
        </w:rPr>
      </w:pPr>
      <w:r>
        <w:rPr>
          <w:rFonts w:hint="eastAsia" w:ascii="宋体" w:hAnsi="宋体"/>
          <w:color w:val="auto"/>
          <w:szCs w:val="21"/>
        </w:rPr>
        <w:t>⑩解决合同纠纷的方式：因履行本合同发生争议，如当事人协商不成，由</w:t>
      </w:r>
    </w:p>
    <w:p w14:paraId="154EC56C">
      <w:pPr>
        <w:numPr>
          <w:ilvl w:val="0"/>
          <w:numId w:val="4"/>
        </w:numPr>
        <w:autoSpaceDE w:val="0"/>
        <w:autoSpaceDN w:val="0"/>
        <w:adjustRightInd w:val="0"/>
        <w:snapToGrid w:val="0"/>
        <w:spacing w:line="480" w:lineRule="exact"/>
        <w:ind w:firstLine="665" w:firstLineChars="317"/>
        <w:rPr>
          <w:rFonts w:hint="eastAsia"/>
          <w:color w:val="auto"/>
        </w:rPr>
      </w:pPr>
      <w:r>
        <w:rPr>
          <w:rFonts w:hint="eastAsia" w:ascii="宋体" w:hAnsi="宋体"/>
          <w:color w:val="auto"/>
          <w:szCs w:val="21"/>
        </w:rPr>
        <w:t>提交仲裁委员会。（二）起诉至当地法院裁决。</w:t>
      </w:r>
    </w:p>
    <w:p w14:paraId="36C1471A">
      <w:pPr>
        <w:numPr>
          <w:ilvl w:val="0"/>
          <w:numId w:val="0"/>
        </w:numPr>
        <w:autoSpaceDE w:val="0"/>
        <w:autoSpaceDN w:val="0"/>
        <w:adjustRightInd w:val="0"/>
        <w:snapToGrid w:val="0"/>
        <w:spacing w:line="480" w:lineRule="exact"/>
        <w:ind w:firstLine="420" w:firstLineChars="200"/>
        <w:rPr>
          <w:rFonts w:hint="eastAsia" w:ascii="楷体_GB2312" w:eastAsia="楷体_GB2312"/>
          <w:b/>
          <w:color w:val="auto"/>
          <w:sz w:val="30"/>
        </w:rPr>
      </w:pPr>
      <w:r>
        <w:rPr>
          <w:rFonts w:hint="eastAsia" w:ascii="Times New Roman" w:hAnsi="Times New Roman" w:eastAsia="宋体" w:cs="Times New Roman"/>
          <w:color w:val="auto"/>
          <w:kern w:val="2"/>
          <w:sz w:val="21"/>
          <w:szCs w:val="24"/>
          <w:lang w:val="en-US" w:eastAsia="zh-CN" w:bidi="ar-SA"/>
        </w:rPr>
        <w:t>⑪　</w:t>
      </w:r>
      <w:r>
        <w:rPr>
          <w:rFonts w:hint="eastAsia" w:ascii="宋体" w:hAnsi="宋体"/>
          <w:color w:val="auto"/>
          <w:szCs w:val="21"/>
        </w:rPr>
        <w:t>其他约定事项。</w:t>
      </w:r>
    </w:p>
    <w:p w14:paraId="0C98F943">
      <w:pPr>
        <w:jc w:val="right"/>
        <w:outlineLvl w:val="0"/>
        <w:rPr>
          <w:rFonts w:hint="eastAsia" w:ascii="宋体" w:hAnsi="宋体" w:eastAsia="宋体" w:cs="Times New Roman"/>
          <w:b/>
          <w:color w:val="auto"/>
          <w:sz w:val="72"/>
          <w:szCs w:val="72"/>
          <w:lang w:eastAsia="zh-CN"/>
        </w:rPr>
      </w:pPr>
      <w:r>
        <w:rPr>
          <w:rFonts w:hint="eastAsia" w:ascii="黑体" w:hAnsi="黑体" w:eastAsia="黑体" w:cs="黑体"/>
          <w:b/>
          <w:color w:val="auto"/>
          <w:sz w:val="72"/>
          <w:szCs w:val="72"/>
          <w:lang w:eastAsia="zh-CN"/>
        </w:rPr>
        <w:t>正本</w:t>
      </w:r>
    </w:p>
    <w:p w14:paraId="422C7398">
      <w:pPr>
        <w:jc w:val="center"/>
        <w:outlineLvl w:val="0"/>
        <w:rPr>
          <w:rFonts w:hint="eastAsia" w:ascii="宋体" w:hAnsi="宋体" w:eastAsia="宋体" w:cs="Times New Roman"/>
          <w:b/>
          <w:color w:val="auto"/>
          <w:sz w:val="44"/>
          <w:szCs w:val="44"/>
        </w:rPr>
      </w:pPr>
    </w:p>
    <w:p w14:paraId="1ECAF364">
      <w:pPr>
        <w:jc w:val="both"/>
        <w:outlineLvl w:val="0"/>
        <w:rPr>
          <w:rFonts w:hint="eastAsia" w:ascii="宋体" w:hAnsi="宋体" w:eastAsia="宋体" w:cs="Times New Roman"/>
          <w:b/>
          <w:color w:val="auto"/>
          <w:sz w:val="44"/>
          <w:szCs w:val="44"/>
          <w:lang w:eastAsia="zh-CN"/>
        </w:rPr>
      </w:pPr>
      <w:r>
        <w:rPr>
          <w:rFonts w:hint="eastAsia" w:ascii="宋体" w:hAnsi="宋体" w:eastAsia="宋体" w:cs="Times New Roman"/>
          <w:b/>
          <w:color w:val="auto"/>
          <w:sz w:val="44"/>
          <w:szCs w:val="44"/>
          <w:lang w:eastAsia="zh-CN"/>
        </w:rPr>
        <w:t>项目名称：</w:t>
      </w:r>
    </w:p>
    <w:p w14:paraId="6E21D8C8">
      <w:pPr>
        <w:pStyle w:val="34"/>
        <w:rPr>
          <w:rFonts w:hint="eastAsia"/>
          <w:color w:val="auto"/>
          <w:lang w:eastAsia="zh-CN"/>
        </w:rPr>
      </w:pPr>
    </w:p>
    <w:p w14:paraId="22FFDF3C">
      <w:pPr>
        <w:pStyle w:val="35"/>
        <w:rPr>
          <w:rFonts w:hint="eastAsia"/>
          <w:color w:val="auto"/>
          <w:lang w:eastAsia="zh-CN"/>
        </w:rPr>
      </w:pPr>
    </w:p>
    <w:p w14:paraId="7BEAE75C">
      <w:pPr>
        <w:jc w:val="center"/>
        <w:outlineLvl w:val="0"/>
        <w:rPr>
          <w:rFonts w:hint="eastAsia" w:ascii="宋体" w:hAnsi="宋体" w:eastAsia="宋体" w:cs="Times New Roman"/>
          <w:b/>
          <w:color w:val="auto"/>
          <w:sz w:val="44"/>
          <w:szCs w:val="44"/>
          <w:lang w:eastAsia="zh-CN"/>
        </w:rPr>
      </w:pPr>
      <w:r>
        <w:rPr>
          <w:rFonts w:hint="eastAsia" w:ascii="宋体" w:hAnsi="宋体" w:eastAsia="宋体" w:cs="Times New Roman"/>
          <w:b/>
          <w:color w:val="auto"/>
          <w:sz w:val="44"/>
          <w:szCs w:val="44"/>
          <w:lang w:eastAsia="zh-CN"/>
        </w:rPr>
        <w:t>投</w:t>
      </w:r>
    </w:p>
    <w:p w14:paraId="565F363F">
      <w:pPr>
        <w:pStyle w:val="34"/>
        <w:jc w:val="center"/>
        <w:rPr>
          <w:rFonts w:hint="eastAsia"/>
          <w:color w:val="auto"/>
        </w:rPr>
      </w:pPr>
    </w:p>
    <w:p w14:paraId="53E9401D">
      <w:pPr>
        <w:jc w:val="center"/>
        <w:outlineLvl w:val="0"/>
        <w:rPr>
          <w:rFonts w:hint="eastAsia" w:ascii="宋体" w:hAnsi="宋体" w:eastAsia="宋体" w:cs="Times New Roman"/>
          <w:b/>
          <w:color w:val="auto"/>
          <w:sz w:val="44"/>
          <w:szCs w:val="44"/>
        </w:rPr>
      </w:pPr>
      <w:r>
        <w:rPr>
          <w:rFonts w:hint="eastAsia" w:ascii="宋体" w:hAnsi="宋体" w:eastAsia="宋体" w:cs="Times New Roman"/>
          <w:b/>
          <w:color w:val="auto"/>
          <w:sz w:val="44"/>
          <w:szCs w:val="44"/>
        </w:rPr>
        <w:t>标</w:t>
      </w:r>
    </w:p>
    <w:p w14:paraId="50E85CF0">
      <w:pPr>
        <w:jc w:val="center"/>
        <w:outlineLvl w:val="0"/>
        <w:rPr>
          <w:rFonts w:hint="eastAsia" w:ascii="宋体" w:hAnsi="宋体" w:eastAsia="宋体" w:cs="Times New Roman"/>
          <w:b/>
          <w:color w:val="auto"/>
          <w:sz w:val="44"/>
          <w:szCs w:val="44"/>
        </w:rPr>
      </w:pPr>
    </w:p>
    <w:p w14:paraId="2F52EF80">
      <w:pPr>
        <w:jc w:val="center"/>
        <w:outlineLvl w:val="0"/>
        <w:rPr>
          <w:rFonts w:hint="eastAsia" w:ascii="宋体" w:hAnsi="宋体" w:eastAsia="宋体" w:cs="Times New Roman"/>
          <w:b/>
          <w:color w:val="auto"/>
          <w:sz w:val="44"/>
          <w:szCs w:val="44"/>
        </w:rPr>
      </w:pPr>
      <w:r>
        <w:rPr>
          <w:rFonts w:hint="eastAsia" w:ascii="宋体" w:hAnsi="宋体" w:eastAsia="宋体" w:cs="Times New Roman"/>
          <w:b/>
          <w:color w:val="auto"/>
          <w:sz w:val="44"/>
          <w:szCs w:val="44"/>
          <w:lang w:eastAsia="zh-CN"/>
        </w:rPr>
        <w:t>书</w:t>
      </w:r>
    </w:p>
    <w:p w14:paraId="0EA985DC">
      <w:pPr>
        <w:jc w:val="both"/>
        <w:rPr>
          <w:rFonts w:hint="eastAsia" w:ascii="宋体" w:hAnsi="宋体"/>
          <w:b/>
          <w:color w:val="auto"/>
          <w:sz w:val="72"/>
        </w:rPr>
      </w:pPr>
    </w:p>
    <w:p w14:paraId="0741628C">
      <w:pPr>
        <w:ind w:firstLine="723" w:firstLineChars="200"/>
        <w:jc w:val="both"/>
        <w:rPr>
          <w:rFonts w:hint="eastAsia" w:ascii="宋体" w:hAnsi="宋体"/>
          <w:b/>
          <w:color w:val="auto"/>
          <w:sz w:val="36"/>
          <w:szCs w:val="36"/>
          <w:lang w:eastAsia="zh-CN"/>
        </w:rPr>
      </w:pPr>
    </w:p>
    <w:p w14:paraId="62614AA4">
      <w:pPr>
        <w:pStyle w:val="34"/>
        <w:rPr>
          <w:rFonts w:hint="eastAsia"/>
          <w:color w:val="auto"/>
          <w:lang w:eastAsia="zh-CN"/>
        </w:rPr>
      </w:pPr>
    </w:p>
    <w:p w14:paraId="5B265947">
      <w:pPr>
        <w:ind w:firstLine="1084" w:firstLineChars="300"/>
        <w:jc w:val="both"/>
        <w:rPr>
          <w:rFonts w:hint="eastAsia" w:ascii="宋体" w:hAnsi="宋体"/>
          <w:b/>
          <w:color w:val="auto"/>
          <w:sz w:val="36"/>
          <w:szCs w:val="36"/>
          <w:u w:val="single"/>
          <w:lang w:eastAsia="zh-CN"/>
        </w:rPr>
      </w:pPr>
      <w:r>
        <w:rPr>
          <w:rFonts w:hint="eastAsia" w:ascii="宋体" w:hAnsi="宋体"/>
          <w:b/>
          <w:color w:val="auto"/>
          <w:sz w:val="36"/>
          <w:szCs w:val="36"/>
          <w:lang w:eastAsia="zh-CN"/>
        </w:rPr>
        <w:t>招</w:t>
      </w:r>
      <w:r>
        <w:rPr>
          <w:rFonts w:hint="eastAsia" w:ascii="宋体" w:hAnsi="宋体"/>
          <w:b/>
          <w:color w:val="auto"/>
          <w:sz w:val="36"/>
          <w:szCs w:val="36"/>
          <w:lang w:val="en-US" w:eastAsia="zh-CN"/>
        </w:rPr>
        <w:t xml:space="preserve"> </w:t>
      </w:r>
      <w:r>
        <w:rPr>
          <w:rFonts w:hint="eastAsia" w:ascii="宋体" w:hAnsi="宋体"/>
          <w:b/>
          <w:color w:val="auto"/>
          <w:sz w:val="36"/>
          <w:szCs w:val="36"/>
          <w:lang w:eastAsia="zh-CN"/>
        </w:rPr>
        <w:t>标</w:t>
      </w:r>
      <w:r>
        <w:rPr>
          <w:rFonts w:hint="eastAsia" w:ascii="宋体" w:hAnsi="宋体"/>
          <w:b/>
          <w:color w:val="auto"/>
          <w:sz w:val="36"/>
          <w:szCs w:val="36"/>
          <w:lang w:val="en-US" w:eastAsia="zh-CN"/>
        </w:rPr>
        <w:t xml:space="preserve"> </w:t>
      </w:r>
      <w:r>
        <w:rPr>
          <w:rFonts w:hint="eastAsia" w:ascii="宋体" w:hAnsi="宋体"/>
          <w:b/>
          <w:color w:val="auto"/>
          <w:sz w:val="36"/>
          <w:szCs w:val="36"/>
          <w:lang w:eastAsia="zh-CN"/>
        </w:rPr>
        <w:t>单</w:t>
      </w:r>
      <w:r>
        <w:rPr>
          <w:rFonts w:hint="eastAsia" w:ascii="宋体" w:hAnsi="宋体"/>
          <w:b/>
          <w:color w:val="auto"/>
          <w:sz w:val="36"/>
          <w:szCs w:val="36"/>
          <w:lang w:val="en-US" w:eastAsia="zh-CN"/>
        </w:rPr>
        <w:t xml:space="preserve"> </w:t>
      </w:r>
      <w:r>
        <w:rPr>
          <w:rFonts w:hint="eastAsia" w:ascii="宋体" w:hAnsi="宋体"/>
          <w:b/>
          <w:color w:val="auto"/>
          <w:sz w:val="36"/>
          <w:szCs w:val="36"/>
          <w:lang w:eastAsia="zh-CN"/>
        </w:rPr>
        <w:t>位：</w:t>
      </w:r>
      <w:r>
        <w:rPr>
          <w:rFonts w:hint="eastAsia" w:ascii="宋体" w:hAnsi="宋体"/>
          <w:b/>
          <w:color w:val="auto"/>
          <w:sz w:val="36"/>
          <w:szCs w:val="36"/>
          <w:u w:val="single"/>
          <w:lang w:eastAsia="zh-CN"/>
        </w:rPr>
        <w:t>扬州市上善建设工程有限公司</w:t>
      </w:r>
    </w:p>
    <w:p w14:paraId="51742552">
      <w:pPr>
        <w:ind w:firstLine="1081" w:firstLineChars="300"/>
        <w:jc w:val="both"/>
        <w:rPr>
          <w:rFonts w:hint="default" w:ascii="Helvetica" w:hAnsi="Helvetica" w:eastAsia="宋体" w:cs="Helvetica"/>
          <w:b/>
          <w:bCs/>
          <w:i w:val="0"/>
          <w:iCs w:val="0"/>
          <w:caps w:val="0"/>
          <w:color w:val="auto"/>
          <w:spacing w:val="0"/>
          <w:sz w:val="36"/>
          <w:szCs w:val="36"/>
          <w:u w:val="single"/>
          <w:lang w:val="en-US" w:eastAsia="zh-CN"/>
        </w:rPr>
      </w:pPr>
      <w:r>
        <w:rPr>
          <w:rFonts w:hint="eastAsia" w:ascii="Helvetica" w:hAnsi="Helvetica" w:eastAsia="Helvetica" w:cs="Helvetica"/>
          <w:b/>
          <w:bCs/>
          <w:i w:val="0"/>
          <w:iCs w:val="0"/>
          <w:caps w:val="0"/>
          <w:color w:val="auto"/>
          <w:spacing w:val="0"/>
          <w:sz w:val="36"/>
          <w:szCs w:val="36"/>
          <w:lang w:eastAsia="zh-CN"/>
        </w:rPr>
        <w:t>投</w:t>
      </w:r>
      <w:r>
        <w:rPr>
          <w:rFonts w:hint="eastAsia" w:ascii="Helvetica" w:hAnsi="Helvetica" w:eastAsia="Helvetica" w:cs="Helvetica"/>
          <w:b/>
          <w:bCs/>
          <w:i w:val="0"/>
          <w:iCs w:val="0"/>
          <w:caps w:val="0"/>
          <w:color w:val="auto"/>
          <w:spacing w:val="0"/>
          <w:sz w:val="36"/>
          <w:szCs w:val="36"/>
          <w:lang w:val="en-US" w:eastAsia="zh-CN"/>
        </w:rPr>
        <w:t xml:space="preserve"> </w:t>
      </w:r>
      <w:r>
        <w:rPr>
          <w:rFonts w:hint="eastAsia" w:ascii="Helvetica" w:hAnsi="Helvetica" w:eastAsia="Helvetica" w:cs="Helvetica"/>
          <w:b/>
          <w:bCs/>
          <w:i w:val="0"/>
          <w:iCs w:val="0"/>
          <w:caps w:val="0"/>
          <w:color w:val="auto"/>
          <w:spacing w:val="0"/>
          <w:sz w:val="36"/>
          <w:szCs w:val="36"/>
          <w:lang w:eastAsia="zh-CN"/>
        </w:rPr>
        <w:t>标</w:t>
      </w:r>
      <w:r>
        <w:rPr>
          <w:rFonts w:hint="eastAsia" w:ascii="Helvetica" w:hAnsi="Helvetica" w:eastAsia="Helvetica" w:cs="Helvetica"/>
          <w:b/>
          <w:bCs/>
          <w:i w:val="0"/>
          <w:iCs w:val="0"/>
          <w:caps w:val="0"/>
          <w:color w:val="auto"/>
          <w:spacing w:val="0"/>
          <w:sz w:val="36"/>
          <w:szCs w:val="36"/>
          <w:lang w:val="en-US" w:eastAsia="zh-CN"/>
        </w:rPr>
        <w:t xml:space="preserve"> </w:t>
      </w:r>
      <w:r>
        <w:rPr>
          <w:rFonts w:hint="eastAsia" w:ascii="Helvetica" w:hAnsi="Helvetica" w:eastAsia="Helvetica" w:cs="Helvetica"/>
          <w:b/>
          <w:bCs/>
          <w:i w:val="0"/>
          <w:iCs w:val="0"/>
          <w:caps w:val="0"/>
          <w:color w:val="auto"/>
          <w:spacing w:val="0"/>
          <w:sz w:val="36"/>
          <w:szCs w:val="36"/>
          <w:lang w:eastAsia="zh-CN"/>
        </w:rPr>
        <w:t>单</w:t>
      </w:r>
      <w:r>
        <w:rPr>
          <w:rFonts w:hint="eastAsia" w:ascii="Helvetica" w:hAnsi="Helvetica" w:eastAsia="Helvetica" w:cs="Helvetica"/>
          <w:b/>
          <w:bCs/>
          <w:i w:val="0"/>
          <w:iCs w:val="0"/>
          <w:caps w:val="0"/>
          <w:color w:val="auto"/>
          <w:spacing w:val="0"/>
          <w:sz w:val="36"/>
          <w:szCs w:val="36"/>
          <w:lang w:val="en-US" w:eastAsia="zh-CN"/>
        </w:rPr>
        <w:t xml:space="preserve"> </w:t>
      </w:r>
      <w:r>
        <w:rPr>
          <w:rFonts w:hint="eastAsia" w:ascii="Helvetica" w:hAnsi="Helvetica" w:eastAsia="Helvetica" w:cs="Helvetica"/>
          <w:b/>
          <w:bCs/>
          <w:i w:val="0"/>
          <w:iCs w:val="0"/>
          <w:caps w:val="0"/>
          <w:color w:val="auto"/>
          <w:spacing w:val="0"/>
          <w:sz w:val="36"/>
          <w:szCs w:val="36"/>
          <w:lang w:eastAsia="zh-CN"/>
        </w:rPr>
        <w:t>位</w:t>
      </w:r>
      <w:r>
        <w:rPr>
          <w:rFonts w:hint="eastAsia" w:ascii="宋体" w:hAnsi="宋体"/>
          <w:b w:val="0"/>
          <w:color w:val="auto"/>
          <w:sz w:val="36"/>
          <w:szCs w:val="36"/>
          <w:lang w:eastAsia="zh-CN"/>
        </w:rPr>
        <w:t>：</w:t>
      </w:r>
      <w:r>
        <w:rPr>
          <w:rFonts w:hint="eastAsia" w:ascii="宋体" w:hAnsi="宋体" w:eastAsia="宋体" w:cs="Times New Roman"/>
          <w:b/>
          <w:color w:val="auto"/>
          <w:sz w:val="36"/>
          <w:szCs w:val="36"/>
          <w:u w:val="single"/>
          <w:lang w:val="en-US" w:eastAsia="zh-CN"/>
        </w:rPr>
        <w:t xml:space="preserve">                          </w:t>
      </w:r>
    </w:p>
    <w:p w14:paraId="1EE3A551">
      <w:pPr>
        <w:ind w:firstLine="1084" w:firstLineChars="300"/>
        <w:jc w:val="both"/>
        <w:rPr>
          <w:rFonts w:hint="default" w:ascii="宋体" w:hAnsi="宋体"/>
          <w:b/>
          <w:color w:val="auto"/>
          <w:sz w:val="36"/>
          <w:szCs w:val="36"/>
          <w:lang w:val="en-US" w:eastAsia="zh-CN"/>
        </w:rPr>
      </w:pPr>
      <w:r>
        <w:rPr>
          <w:rFonts w:hint="eastAsia" w:ascii="宋体" w:hAnsi="宋体"/>
          <w:b/>
          <w:color w:val="auto"/>
          <w:sz w:val="36"/>
          <w:szCs w:val="36"/>
          <w:lang w:eastAsia="zh-CN"/>
        </w:rPr>
        <w:t>法定代表人（签章）：</w:t>
      </w:r>
      <w:r>
        <w:rPr>
          <w:rFonts w:hint="eastAsia" w:ascii="宋体" w:hAnsi="宋体"/>
          <w:b/>
          <w:color w:val="auto"/>
          <w:sz w:val="36"/>
          <w:szCs w:val="36"/>
          <w:u w:val="single"/>
          <w:lang w:val="en-US" w:eastAsia="zh-CN"/>
        </w:rPr>
        <w:t xml:space="preserve">                   </w:t>
      </w:r>
    </w:p>
    <w:p w14:paraId="0AEA6085">
      <w:pPr>
        <w:ind w:firstLine="1084" w:firstLineChars="300"/>
        <w:jc w:val="both"/>
        <w:rPr>
          <w:rFonts w:hint="eastAsia" w:ascii="宋体" w:hAnsi="宋体"/>
          <w:b/>
          <w:color w:val="auto"/>
          <w:sz w:val="36"/>
          <w:szCs w:val="36"/>
          <w:lang w:val="en-US" w:eastAsia="zh-CN"/>
        </w:rPr>
      </w:pPr>
      <w:r>
        <w:rPr>
          <w:rFonts w:hint="eastAsia" w:ascii="宋体" w:hAnsi="宋体"/>
          <w:b/>
          <w:color w:val="auto"/>
          <w:sz w:val="36"/>
          <w:szCs w:val="36"/>
          <w:lang w:eastAsia="zh-CN"/>
        </w:rPr>
        <w:t>投标日期：</w:t>
      </w:r>
      <w:r>
        <w:rPr>
          <w:rFonts w:hint="eastAsia" w:ascii="宋体" w:hAnsi="宋体"/>
          <w:b/>
          <w:color w:val="auto"/>
          <w:sz w:val="36"/>
          <w:szCs w:val="36"/>
          <w:u w:val="single"/>
          <w:lang w:val="en-US" w:eastAsia="zh-CN"/>
        </w:rPr>
        <w:t xml:space="preserve">      </w:t>
      </w:r>
      <w:r>
        <w:rPr>
          <w:rFonts w:hint="eastAsia" w:ascii="宋体" w:hAnsi="宋体"/>
          <w:b/>
          <w:color w:val="auto"/>
          <w:sz w:val="36"/>
          <w:szCs w:val="36"/>
          <w:lang w:val="en-US" w:eastAsia="zh-CN"/>
        </w:rPr>
        <w:t>年</w:t>
      </w:r>
      <w:r>
        <w:rPr>
          <w:rFonts w:hint="eastAsia" w:ascii="宋体" w:hAnsi="宋体"/>
          <w:b/>
          <w:color w:val="auto"/>
          <w:sz w:val="36"/>
          <w:szCs w:val="36"/>
          <w:u w:val="single"/>
          <w:lang w:val="en-US" w:eastAsia="zh-CN"/>
        </w:rPr>
        <w:t xml:space="preserve">    </w:t>
      </w:r>
      <w:r>
        <w:rPr>
          <w:rFonts w:hint="eastAsia" w:ascii="宋体" w:hAnsi="宋体"/>
          <w:b/>
          <w:color w:val="auto"/>
          <w:sz w:val="36"/>
          <w:szCs w:val="36"/>
          <w:lang w:val="en-US" w:eastAsia="zh-CN"/>
        </w:rPr>
        <w:t>月</w:t>
      </w:r>
      <w:r>
        <w:rPr>
          <w:rFonts w:hint="eastAsia" w:ascii="宋体" w:hAnsi="宋体"/>
          <w:b/>
          <w:color w:val="auto"/>
          <w:sz w:val="36"/>
          <w:szCs w:val="36"/>
          <w:u w:val="single"/>
          <w:lang w:val="en-US" w:eastAsia="zh-CN"/>
        </w:rPr>
        <w:t xml:space="preserve">    </w:t>
      </w:r>
      <w:r>
        <w:rPr>
          <w:rFonts w:hint="eastAsia" w:ascii="宋体" w:hAnsi="宋体"/>
          <w:b/>
          <w:color w:val="auto"/>
          <w:sz w:val="36"/>
          <w:szCs w:val="36"/>
          <w:lang w:val="en-US" w:eastAsia="zh-CN"/>
        </w:rPr>
        <w:t>日</w:t>
      </w:r>
    </w:p>
    <w:p w14:paraId="664E96DB">
      <w:pPr>
        <w:spacing w:line="720" w:lineRule="exact"/>
        <w:jc w:val="both"/>
        <w:rPr>
          <w:rFonts w:hint="eastAsia" w:ascii="楷体_GB2312" w:eastAsia="楷体_GB2312"/>
          <w:b/>
          <w:color w:val="auto"/>
          <w:sz w:val="30"/>
        </w:rPr>
      </w:pPr>
    </w:p>
    <w:p w14:paraId="6B4731C6">
      <w:pPr>
        <w:pStyle w:val="34"/>
        <w:rPr>
          <w:rFonts w:hint="eastAsia"/>
          <w:color w:val="auto"/>
        </w:rPr>
      </w:pPr>
    </w:p>
    <w:p w14:paraId="23DDEA95">
      <w:pPr>
        <w:pStyle w:val="4"/>
        <w:rPr>
          <w:rFonts w:hint="eastAsia"/>
          <w:color w:val="auto"/>
        </w:rPr>
      </w:pPr>
    </w:p>
    <w:p w14:paraId="13CB39B7">
      <w:pPr>
        <w:spacing w:line="720" w:lineRule="exact"/>
        <w:jc w:val="center"/>
        <w:rPr>
          <w:rFonts w:ascii="楷体_GB2312" w:eastAsia="楷体_GB2312"/>
          <w:b/>
          <w:color w:val="auto"/>
          <w:sz w:val="30"/>
        </w:rPr>
      </w:pPr>
      <w:r>
        <w:rPr>
          <w:rFonts w:hint="eastAsia" w:ascii="楷体_GB2312" w:eastAsia="楷体_GB2312"/>
          <w:b/>
          <w:color w:val="auto"/>
          <w:sz w:val="30"/>
        </w:rPr>
        <w:t>1、投标书</w:t>
      </w:r>
    </w:p>
    <w:p w14:paraId="00864D4D">
      <w:pPr>
        <w:spacing w:line="480" w:lineRule="exact"/>
        <w:ind w:firstLine="480"/>
        <w:rPr>
          <w:rFonts w:ascii="宋体" w:hAnsi="宋体"/>
          <w:color w:val="auto"/>
          <w:sz w:val="24"/>
        </w:rPr>
      </w:pPr>
      <w:r>
        <w:rPr>
          <w:rFonts w:hint="eastAsia" w:ascii="宋体" w:hAnsi="宋体"/>
          <w:color w:val="auto"/>
          <w:sz w:val="24"/>
          <w:lang w:val="en-US" w:eastAsia="zh-CN"/>
        </w:rPr>
        <w:t>扬州市上善建设工程有限公司</w:t>
      </w:r>
      <w:r>
        <w:rPr>
          <w:rFonts w:hint="eastAsia" w:ascii="宋体" w:hAnsi="宋体"/>
          <w:color w:val="auto"/>
          <w:sz w:val="24"/>
        </w:rPr>
        <w:t>：</w:t>
      </w:r>
    </w:p>
    <w:p w14:paraId="07C50FF3">
      <w:pPr>
        <w:spacing w:line="480" w:lineRule="exact"/>
        <w:ind w:firstLine="480"/>
        <w:rPr>
          <w:rFonts w:ascii="宋体" w:hAnsi="宋体"/>
          <w:color w:val="auto"/>
          <w:sz w:val="24"/>
        </w:rPr>
      </w:pPr>
      <w:r>
        <w:rPr>
          <w:rFonts w:hint="eastAsia" w:ascii="宋体" w:hAnsi="宋体"/>
          <w:color w:val="auto"/>
          <w:sz w:val="24"/>
        </w:rPr>
        <w:t>你们</w:t>
      </w:r>
      <w:r>
        <w:rPr>
          <w:rFonts w:hint="eastAsia" w:ascii="宋体" w:hAnsi="宋体"/>
          <w:color w:val="auto"/>
          <w:sz w:val="24"/>
          <w:u w:val="single"/>
        </w:rPr>
        <w:t xml:space="preserve">           </w:t>
      </w:r>
      <w:r>
        <w:rPr>
          <w:rFonts w:hint="eastAsia" w:ascii="宋体" w:hAnsi="宋体"/>
          <w:color w:val="auto"/>
          <w:sz w:val="24"/>
        </w:rPr>
        <w:t>招标文件（包括补充文件，如果有的话）收悉，我们经详细审阅和研究，现决定参加投标。</w:t>
      </w:r>
    </w:p>
    <w:p w14:paraId="3C5F14FC">
      <w:pPr>
        <w:spacing w:line="480" w:lineRule="exact"/>
        <w:rPr>
          <w:rFonts w:ascii="宋体" w:hAnsi="宋体"/>
          <w:color w:val="auto"/>
          <w:sz w:val="24"/>
        </w:rPr>
      </w:pPr>
      <w:r>
        <w:rPr>
          <w:rFonts w:hint="eastAsia" w:ascii="宋体" w:hAnsi="宋体"/>
          <w:color w:val="auto"/>
          <w:sz w:val="24"/>
        </w:rPr>
        <w:t xml:space="preserve">    1.我们愿按照招标文件中的条款、要求，提供所需的招标货物及一切相关的服务，投标价为</w:t>
      </w:r>
      <w:r>
        <w:rPr>
          <w:rFonts w:hint="eastAsia" w:ascii="宋体" w:hAnsi="宋体"/>
          <w:color w:val="auto"/>
          <w:sz w:val="24"/>
          <w:u w:val="single"/>
        </w:rPr>
        <w:t xml:space="preserve">    </w:t>
      </w:r>
      <w:r>
        <w:rPr>
          <w:rFonts w:hint="eastAsia" w:ascii="宋体" w:hAnsi="宋体"/>
          <w:color w:val="auto"/>
          <w:sz w:val="24"/>
        </w:rPr>
        <w:t>。</w:t>
      </w:r>
    </w:p>
    <w:p w14:paraId="09CCBDFB">
      <w:pPr>
        <w:spacing w:line="480" w:lineRule="exact"/>
        <w:ind w:firstLine="420"/>
        <w:rPr>
          <w:rFonts w:ascii="宋体" w:hAnsi="宋体"/>
          <w:color w:val="auto"/>
          <w:sz w:val="24"/>
        </w:rPr>
      </w:pPr>
      <w:r>
        <w:rPr>
          <w:rFonts w:hint="eastAsia" w:ascii="宋体" w:hAnsi="宋体"/>
          <w:color w:val="auto"/>
          <w:sz w:val="24"/>
        </w:rPr>
        <w:t>2.如果我们中标，我们将在之后的</w:t>
      </w:r>
      <w:r>
        <w:rPr>
          <w:rFonts w:hint="eastAsia" w:ascii="宋体" w:hAnsi="宋体"/>
          <w:color w:val="auto"/>
          <w:sz w:val="24"/>
          <w:u w:val="single"/>
        </w:rPr>
        <w:t xml:space="preserve">   </w:t>
      </w:r>
      <w:r>
        <w:rPr>
          <w:rFonts w:hint="eastAsia" w:ascii="宋体" w:hAnsi="宋体"/>
          <w:color w:val="auto"/>
          <w:sz w:val="24"/>
        </w:rPr>
        <w:t>天内交货。</w:t>
      </w:r>
    </w:p>
    <w:p w14:paraId="015FB123">
      <w:pPr>
        <w:spacing w:line="480" w:lineRule="exact"/>
        <w:ind w:firstLine="420"/>
        <w:rPr>
          <w:rFonts w:ascii="宋体" w:hAnsi="宋体"/>
          <w:color w:val="auto"/>
          <w:sz w:val="24"/>
        </w:rPr>
      </w:pPr>
      <w:r>
        <w:rPr>
          <w:rFonts w:hint="eastAsia" w:ascii="宋体" w:hAnsi="宋体"/>
          <w:color w:val="auto"/>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auto"/>
          <w:sz w:val="24"/>
        </w:rPr>
      </w:pPr>
      <w:r>
        <w:rPr>
          <w:rFonts w:hint="eastAsia" w:ascii="宋体" w:hAnsi="宋体"/>
          <w:color w:val="auto"/>
          <w:sz w:val="24"/>
        </w:rPr>
        <w:t xml:space="preserve">    4.我们同意提供招标人要求的有关本次招标的所有资料。</w:t>
      </w:r>
    </w:p>
    <w:p w14:paraId="1427EFEB">
      <w:pPr>
        <w:spacing w:line="480" w:lineRule="exact"/>
        <w:ind w:firstLine="480"/>
        <w:rPr>
          <w:rFonts w:ascii="宋体" w:hAnsi="宋体"/>
          <w:color w:val="auto"/>
          <w:sz w:val="24"/>
        </w:rPr>
      </w:pPr>
      <w:r>
        <w:rPr>
          <w:rFonts w:hint="eastAsia" w:ascii="宋体" w:hAnsi="宋体"/>
          <w:color w:val="auto"/>
          <w:sz w:val="24"/>
        </w:rPr>
        <w:t>5.我们理解，你们无义务必须接受投标价最低的投标，并有权拒绝所有的投标。</w:t>
      </w:r>
    </w:p>
    <w:p w14:paraId="25382B39">
      <w:pPr>
        <w:spacing w:line="480" w:lineRule="exact"/>
        <w:ind w:firstLine="480"/>
        <w:rPr>
          <w:rFonts w:ascii="宋体" w:hAnsi="宋体"/>
          <w:color w:val="auto"/>
          <w:sz w:val="24"/>
        </w:rPr>
      </w:pPr>
      <w:r>
        <w:rPr>
          <w:rFonts w:hint="eastAsia" w:ascii="宋体" w:hAnsi="宋体"/>
          <w:color w:val="auto"/>
          <w:sz w:val="24"/>
        </w:rPr>
        <w:t>6.如果我们中标，为执行合同，我们将按招标文件的要求提供必要的履约保证。</w:t>
      </w:r>
    </w:p>
    <w:p w14:paraId="72DA8614">
      <w:pPr>
        <w:spacing w:line="480" w:lineRule="exact"/>
        <w:rPr>
          <w:rFonts w:ascii="楷体_GB2312" w:eastAsia="楷体_GB2312"/>
          <w:color w:val="auto"/>
          <w:sz w:val="24"/>
        </w:rPr>
      </w:pPr>
    </w:p>
    <w:p w14:paraId="76A5FEEA">
      <w:pPr>
        <w:spacing w:line="480" w:lineRule="exact"/>
        <w:rPr>
          <w:rFonts w:ascii="楷体_GB2312" w:eastAsia="楷体_GB2312"/>
          <w:color w:val="auto"/>
          <w:sz w:val="24"/>
        </w:rPr>
      </w:pPr>
    </w:p>
    <w:p w14:paraId="2FC931BB">
      <w:pPr>
        <w:spacing w:line="480" w:lineRule="exact"/>
        <w:rPr>
          <w:rFonts w:ascii="楷体_GB2312" w:eastAsia="楷体_GB2312"/>
          <w:color w:val="auto"/>
          <w:sz w:val="24"/>
        </w:rPr>
      </w:pPr>
    </w:p>
    <w:p w14:paraId="62248815">
      <w:pPr>
        <w:spacing w:line="480" w:lineRule="exact"/>
        <w:jc w:val="center"/>
        <w:rPr>
          <w:rFonts w:ascii="宋体" w:hAnsi="宋体"/>
          <w:color w:val="auto"/>
          <w:sz w:val="24"/>
        </w:rPr>
      </w:pPr>
      <w:r>
        <w:rPr>
          <w:rFonts w:hint="eastAsia" w:ascii="宋体" w:hAnsi="宋体"/>
          <w:color w:val="auto"/>
          <w:sz w:val="24"/>
        </w:rPr>
        <w:t xml:space="preserve">  投标人名称：</w:t>
      </w:r>
    </w:p>
    <w:p w14:paraId="18BEA08C">
      <w:pPr>
        <w:spacing w:line="480" w:lineRule="exact"/>
        <w:rPr>
          <w:rFonts w:ascii="宋体" w:hAnsi="宋体"/>
          <w:color w:val="auto"/>
          <w:sz w:val="24"/>
        </w:rPr>
      </w:pPr>
      <w:r>
        <w:rPr>
          <w:rFonts w:hint="eastAsia" w:ascii="宋体" w:hAnsi="宋体"/>
          <w:color w:val="auto"/>
          <w:sz w:val="24"/>
        </w:rPr>
        <w:t xml:space="preserve">                             （盖章）</w:t>
      </w:r>
    </w:p>
    <w:p w14:paraId="73A30273">
      <w:pPr>
        <w:spacing w:line="480" w:lineRule="exact"/>
        <w:rPr>
          <w:rFonts w:ascii="宋体" w:hAnsi="宋体"/>
          <w:color w:val="auto"/>
          <w:sz w:val="24"/>
        </w:rPr>
      </w:pPr>
      <w:r>
        <w:rPr>
          <w:rFonts w:hint="eastAsia" w:ascii="宋体" w:hAnsi="宋体"/>
          <w:color w:val="auto"/>
          <w:sz w:val="24"/>
        </w:rPr>
        <w:t xml:space="preserve">                              地址：               邮编：</w:t>
      </w:r>
    </w:p>
    <w:p w14:paraId="4AA87B79">
      <w:pPr>
        <w:spacing w:line="480" w:lineRule="exact"/>
        <w:rPr>
          <w:rFonts w:ascii="宋体" w:hAnsi="宋体"/>
          <w:color w:val="auto"/>
          <w:sz w:val="24"/>
        </w:rPr>
      </w:pPr>
      <w:r>
        <w:rPr>
          <w:rFonts w:hint="eastAsia" w:ascii="宋体" w:hAnsi="宋体"/>
          <w:color w:val="auto"/>
          <w:sz w:val="24"/>
        </w:rPr>
        <w:t xml:space="preserve">                              电话：               传真：</w:t>
      </w:r>
    </w:p>
    <w:p w14:paraId="74704DC3">
      <w:pPr>
        <w:spacing w:line="480" w:lineRule="exact"/>
        <w:rPr>
          <w:rFonts w:ascii="宋体" w:hAnsi="宋体"/>
          <w:color w:val="auto"/>
          <w:sz w:val="24"/>
        </w:rPr>
      </w:pPr>
      <w:r>
        <w:rPr>
          <w:rFonts w:hint="eastAsia" w:ascii="宋体" w:hAnsi="宋体"/>
          <w:color w:val="auto"/>
          <w:sz w:val="24"/>
        </w:rPr>
        <w:t xml:space="preserve">                              授权代表签字：</w:t>
      </w:r>
    </w:p>
    <w:p w14:paraId="205CBF81">
      <w:pPr>
        <w:spacing w:line="480" w:lineRule="exact"/>
        <w:rPr>
          <w:rFonts w:ascii="宋体" w:hAnsi="宋体"/>
          <w:color w:val="auto"/>
          <w:sz w:val="24"/>
        </w:rPr>
      </w:pPr>
      <w:r>
        <w:rPr>
          <w:rFonts w:hint="eastAsia" w:ascii="宋体" w:hAnsi="宋体"/>
          <w:color w:val="auto"/>
          <w:sz w:val="24"/>
        </w:rPr>
        <w:t xml:space="preserve">                              职务：</w:t>
      </w:r>
    </w:p>
    <w:p w14:paraId="24DC1957">
      <w:pPr>
        <w:spacing w:line="480" w:lineRule="exact"/>
        <w:rPr>
          <w:rFonts w:ascii="宋体" w:hAnsi="宋体"/>
          <w:color w:val="auto"/>
          <w:sz w:val="24"/>
        </w:rPr>
      </w:pPr>
      <w:r>
        <w:rPr>
          <w:rFonts w:hint="eastAsia" w:ascii="宋体" w:hAnsi="宋体"/>
          <w:color w:val="auto"/>
          <w:sz w:val="24"/>
        </w:rPr>
        <w:t xml:space="preserve">                              日期：</w:t>
      </w:r>
    </w:p>
    <w:p w14:paraId="4B5AE3C5">
      <w:pPr>
        <w:spacing w:line="480" w:lineRule="exact"/>
        <w:rPr>
          <w:rFonts w:ascii="宋体" w:hAnsi="宋体"/>
          <w:color w:val="auto"/>
          <w:sz w:val="24"/>
        </w:rPr>
      </w:pPr>
    </w:p>
    <w:p w14:paraId="72880913">
      <w:pPr>
        <w:spacing w:line="560" w:lineRule="exact"/>
        <w:jc w:val="center"/>
        <w:rPr>
          <w:rFonts w:ascii="黑体" w:eastAsia="黑体"/>
          <w:color w:val="auto"/>
          <w:sz w:val="36"/>
        </w:rPr>
      </w:pPr>
    </w:p>
    <w:p w14:paraId="2873181F">
      <w:pPr>
        <w:spacing w:line="560" w:lineRule="exact"/>
        <w:jc w:val="center"/>
        <w:rPr>
          <w:rFonts w:ascii="黑体" w:eastAsia="黑体"/>
          <w:color w:val="auto"/>
          <w:sz w:val="36"/>
        </w:rPr>
      </w:pPr>
    </w:p>
    <w:p w14:paraId="37503364">
      <w:pPr>
        <w:spacing w:line="560" w:lineRule="exact"/>
        <w:jc w:val="both"/>
        <w:rPr>
          <w:rFonts w:ascii="黑体" w:eastAsia="黑体"/>
          <w:color w:val="auto"/>
          <w:sz w:val="36"/>
        </w:rPr>
      </w:pPr>
    </w:p>
    <w:p w14:paraId="3FBCF9B1">
      <w:pPr>
        <w:pStyle w:val="16"/>
        <w:rPr>
          <w:color w:val="auto"/>
        </w:rPr>
      </w:pPr>
    </w:p>
    <w:p w14:paraId="77458E5B">
      <w:pPr>
        <w:spacing w:line="560" w:lineRule="exact"/>
        <w:jc w:val="center"/>
        <w:rPr>
          <w:rFonts w:ascii="黑体" w:eastAsia="黑体"/>
          <w:color w:val="auto"/>
          <w:sz w:val="36"/>
        </w:rPr>
      </w:pPr>
      <w:r>
        <w:rPr>
          <w:rFonts w:hint="eastAsia" w:ascii="黑体" w:eastAsia="黑体"/>
          <w:color w:val="auto"/>
          <w:sz w:val="36"/>
        </w:rPr>
        <w:t>2、报价一览表</w:t>
      </w:r>
    </w:p>
    <w:tbl>
      <w:tblPr>
        <w:tblStyle w:val="1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auto"/>
                <w:szCs w:val="21"/>
              </w:rPr>
            </w:pPr>
            <w:r>
              <w:rPr>
                <w:rFonts w:hint="eastAsia" w:ascii="宋体" w:hAnsi="宋体"/>
                <w:color w:val="auto"/>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auto"/>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auto"/>
                <w:sz w:val="24"/>
              </w:rPr>
            </w:pPr>
            <w:r>
              <w:rPr>
                <w:rFonts w:hint="eastAsia" w:ascii="宋体" w:hAnsi="宋体"/>
                <w:color w:val="auto"/>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auto"/>
                <w:sz w:val="24"/>
              </w:rPr>
            </w:pPr>
            <w:r>
              <w:rPr>
                <w:rFonts w:hint="eastAsia" w:ascii="宋体" w:hAnsi="宋体"/>
                <w:color w:val="auto"/>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auto"/>
                <w:sz w:val="24"/>
              </w:rPr>
            </w:pPr>
            <w:r>
              <w:rPr>
                <w:rFonts w:hint="eastAsia" w:ascii="宋体" w:hAnsi="宋体"/>
                <w:color w:val="auto"/>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auto"/>
                <w:sz w:val="24"/>
                <w:lang w:val="en-US" w:eastAsia="zh-CN"/>
              </w:rPr>
            </w:pPr>
            <w:r>
              <w:rPr>
                <w:rFonts w:hint="eastAsia" w:ascii="宋体" w:hAnsi="宋体"/>
                <w:color w:val="auto"/>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auto"/>
                <w:sz w:val="24"/>
              </w:rPr>
            </w:pPr>
            <w:r>
              <w:rPr>
                <w:rFonts w:hint="eastAsia" w:ascii="宋体" w:hAnsi="宋体"/>
                <w:color w:val="auto"/>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auto"/>
                <w:sz w:val="24"/>
                <w:lang w:eastAsia="zh-CN"/>
              </w:rPr>
            </w:pPr>
            <w:r>
              <w:rPr>
                <w:rFonts w:ascii="宋体" w:hAnsi="宋体"/>
                <w:color w:val="auto"/>
                <w:sz w:val="24"/>
              </w:rPr>
              <w:t>单价</w:t>
            </w:r>
            <w:r>
              <w:rPr>
                <w:rFonts w:hint="eastAsia" w:ascii="宋体" w:hAnsi="宋体"/>
                <w:color w:val="auto"/>
                <w:sz w:val="24"/>
                <w:lang w:eastAsia="zh-CN"/>
              </w:rPr>
              <w:t>（</w:t>
            </w:r>
            <w:r>
              <w:rPr>
                <w:rFonts w:hint="eastAsia" w:ascii="宋体" w:hAnsi="宋体"/>
                <w:color w:val="auto"/>
                <w:sz w:val="24"/>
                <w:lang w:val="en-US" w:eastAsia="zh-CN"/>
              </w:rPr>
              <w:t>含13%税</w:t>
            </w:r>
            <w:r>
              <w:rPr>
                <w:rFonts w:hint="eastAsia" w:ascii="宋体" w:hAnsi="宋体"/>
                <w:color w:val="auto"/>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auto"/>
                <w:sz w:val="24"/>
              </w:rPr>
            </w:pPr>
            <w:r>
              <w:rPr>
                <w:rFonts w:ascii="宋体" w:hAnsi="宋体"/>
                <w:color w:val="auto"/>
                <w:sz w:val="24"/>
              </w:rPr>
              <w:t>合价</w:t>
            </w:r>
            <w:r>
              <w:rPr>
                <w:rFonts w:hint="eastAsia" w:ascii="宋体" w:hAnsi="宋体"/>
                <w:color w:val="auto"/>
                <w:sz w:val="24"/>
                <w:lang w:eastAsia="zh-CN"/>
              </w:rPr>
              <w:t>（</w:t>
            </w:r>
            <w:r>
              <w:rPr>
                <w:rFonts w:hint="eastAsia" w:ascii="宋体" w:hAnsi="宋体"/>
                <w:color w:val="auto"/>
                <w:sz w:val="24"/>
                <w:lang w:val="en-US" w:eastAsia="zh-CN"/>
              </w:rPr>
              <w:t>含13%税</w:t>
            </w:r>
            <w:r>
              <w:rPr>
                <w:rFonts w:hint="eastAsia" w:ascii="宋体" w:hAnsi="宋体"/>
                <w:color w:val="auto"/>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auto"/>
                <w:sz w:val="24"/>
                <w:lang w:val="en-US" w:eastAsia="zh-CN"/>
              </w:rPr>
            </w:pPr>
            <w:r>
              <w:rPr>
                <w:rFonts w:hint="eastAsia" w:ascii="宋体" w:hAnsi="宋体"/>
                <w:color w:val="auto"/>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auto"/>
                <w:sz w:val="24"/>
              </w:rPr>
            </w:pPr>
            <w:r>
              <w:rPr>
                <w:rFonts w:hint="eastAsia" w:ascii="宋体" w:hAnsi="宋体"/>
                <w:color w:val="auto"/>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auto"/>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auto"/>
                <w:sz w:val="24"/>
              </w:rPr>
            </w:pPr>
            <w:r>
              <w:rPr>
                <w:rFonts w:hint="eastAsia" w:ascii="宋体" w:hAnsi="宋体"/>
                <w:color w:val="auto"/>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auto"/>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auto"/>
                <w:sz w:val="24"/>
              </w:rPr>
            </w:pPr>
            <w:r>
              <w:rPr>
                <w:rFonts w:hint="eastAsia" w:ascii="宋体" w:hAnsi="宋体"/>
                <w:color w:val="auto"/>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auto"/>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auto"/>
                <w:sz w:val="24"/>
              </w:rPr>
            </w:pPr>
            <w:r>
              <w:rPr>
                <w:rFonts w:hint="eastAsia" w:ascii="宋体" w:hAnsi="宋体"/>
                <w:color w:val="auto"/>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auto"/>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auto"/>
                <w:sz w:val="24"/>
              </w:rPr>
            </w:pPr>
            <w:r>
              <w:rPr>
                <w:rFonts w:hint="eastAsia" w:ascii="宋体" w:hAnsi="宋体"/>
                <w:color w:val="auto"/>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auto"/>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auto"/>
                <w:sz w:val="24"/>
              </w:rPr>
            </w:pPr>
            <w:r>
              <w:rPr>
                <w:rFonts w:hint="eastAsia" w:ascii="宋体" w:hAnsi="宋体"/>
                <w:color w:val="auto"/>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auto"/>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auto"/>
                <w:sz w:val="24"/>
              </w:rPr>
            </w:pPr>
            <w:r>
              <w:rPr>
                <w:rFonts w:hint="eastAsia" w:ascii="宋体" w:hAnsi="宋体"/>
                <w:color w:val="auto"/>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auto"/>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auto"/>
                <w:sz w:val="24"/>
              </w:rPr>
            </w:pPr>
            <w:r>
              <w:rPr>
                <w:rFonts w:hint="eastAsia" w:ascii="宋体" w:hAnsi="宋体"/>
                <w:color w:val="auto"/>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auto"/>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auto"/>
                <w:sz w:val="24"/>
              </w:rPr>
            </w:pPr>
            <w:r>
              <w:rPr>
                <w:rFonts w:hint="eastAsia" w:ascii="宋体" w:hAnsi="宋体"/>
                <w:color w:val="auto"/>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auto"/>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auto"/>
                <w:sz w:val="24"/>
              </w:rPr>
            </w:pPr>
            <w:r>
              <w:rPr>
                <w:rFonts w:hint="eastAsia" w:ascii="宋体" w:hAnsi="宋体"/>
                <w:color w:val="auto"/>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auto"/>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auto"/>
                <w:sz w:val="24"/>
              </w:rPr>
            </w:pPr>
            <w:r>
              <w:rPr>
                <w:rFonts w:hint="eastAsia" w:ascii="宋体" w:hAnsi="宋体"/>
                <w:color w:val="auto"/>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auto"/>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auto"/>
                <w:sz w:val="24"/>
              </w:rPr>
            </w:pPr>
            <w:r>
              <w:rPr>
                <w:rFonts w:hint="eastAsia" w:ascii="宋体" w:hAnsi="宋体"/>
                <w:color w:val="auto"/>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auto"/>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auto"/>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auto"/>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auto"/>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auto"/>
                <w:sz w:val="24"/>
              </w:rPr>
            </w:pPr>
            <w:r>
              <w:rPr>
                <w:rFonts w:hint="eastAsia" w:ascii="宋体" w:hAnsi="宋体"/>
                <w:color w:val="auto"/>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auto"/>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auto"/>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auto"/>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auto"/>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auto"/>
                <w:sz w:val="24"/>
              </w:rPr>
            </w:pPr>
            <w:r>
              <w:rPr>
                <w:rFonts w:hint="eastAsia" w:ascii="宋体" w:hAnsi="宋体"/>
                <w:color w:val="auto"/>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auto"/>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auto"/>
                <w:sz w:val="24"/>
              </w:rPr>
            </w:pPr>
            <w:r>
              <w:rPr>
                <w:rFonts w:hint="eastAsia" w:ascii="宋体" w:hAnsi="宋体"/>
                <w:color w:val="auto"/>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auto"/>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auto"/>
                <w:sz w:val="24"/>
              </w:rPr>
            </w:pPr>
            <w:r>
              <w:rPr>
                <w:rFonts w:ascii="宋体" w:hAnsi="宋体"/>
                <w:color w:val="auto"/>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auto"/>
                <w:sz w:val="24"/>
              </w:rPr>
            </w:pPr>
            <w:r>
              <w:rPr>
                <w:rFonts w:hint="eastAsia" w:ascii="宋体" w:hAnsi="宋体"/>
                <w:color w:val="auto"/>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auto"/>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auto"/>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auto"/>
                <w:sz w:val="24"/>
              </w:rPr>
            </w:pPr>
            <w:r>
              <w:rPr>
                <w:rFonts w:hint="eastAsia" w:ascii="宋体" w:hAnsi="宋体"/>
                <w:color w:val="auto"/>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auto"/>
                <w:sz w:val="24"/>
              </w:rPr>
            </w:pPr>
            <w:r>
              <w:rPr>
                <w:rFonts w:hint="eastAsia" w:ascii="宋体" w:hAnsi="宋体"/>
                <w:color w:val="auto"/>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auto"/>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auto"/>
                <w:sz w:val="24"/>
              </w:rPr>
            </w:pPr>
          </w:p>
        </w:tc>
      </w:tr>
    </w:tbl>
    <w:p w14:paraId="3E9011DB">
      <w:pPr>
        <w:spacing w:line="560" w:lineRule="exact"/>
        <w:rPr>
          <w:rFonts w:ascii="宋体" w:hAnsi="宋体"/>
          <w:color w:val="auto"/>
          <w:sz w:val="24"/>
        </w:rPr>
      </w:pPr>
      <w:r>
        <w:rPr>
          <w:rFonts w:hint="eastAsia" w:ascii="宋体" w:hAnsi="宋体"/>
          <w:color w:val="auto"/>
          <w:sz w:val="24"/>
        </w:rPr>
        <w:t>投标人全称：（盖章或签字）</w:t>
      </w:r>
    </w:p>
    <w:p w14:paraId="5B271EB0">
      <w:pPr>
        <w:spacing w:line="560" w:lineRule="exact"/>
        <w:rPr>
          <w:rFonts w:ascii="宋体" w:hAnsi="宋体"/>
          <w:color w:val="auto"/>
          <w:sz w:val="24"/>
        </w:rPr>
      </w:pPr>
      <w:r>
        <w:rPr>
          <w:rFonts w:hint="eastAsia" w:ascii="宋体" w:hAnsi="宋体"/>
          <w:color w:val="auto"/>
          <w:sz w:val="24"/>
        </w:rPr>
        <w:t>授权代表签字：</w:t>
      </w:r>
    </w:p>
    <w:p w14:paraId="242AAF5A">
      <w:pPr>
        <w:spacing w:line="560" w:lineRule="exact"/>
        <w:rPr>
          <w:rFonts w:ascii="宋体" w:hAnsi="宋体"/>
          <w:color w:val="auto"/>
          <w:sz w:val="24"/>
        </w:rPr>
      </w:pPr>
      <w:r>
        <w:rPr>
          <w:rFonts w:hint="eastAsia" w:ascii="宋体" w:hAnsi="宋体"/>
          <w:color w:val="auto"/>
          <w:sz w:val="24"/>
        </w:rPr>
        <w:t>日  期：</w:t>
      </w:r>
    </w:p>
    <w:p w14:paraId="66AC49FD">
      <w:pPr>
        <w:spacing w:line="560" w:lineRule="exact"/>
        <w:rPr>
          <w:rFonts w:ascii="宋体" w:hAnsi="宋体"/>
          <w:color w:val="auto"/>
          <w:sz w:val="24"/>
        </w:rPr>
      </w:pPr>
      <w:r>
        <w:rPr>
          <w:rFonts w:hint="eastAsia" w:ascii="宋体" w:hAnsi="宋体"/>
          <w:color w:val="auto"/>
          <w:sz w:val="24"/>
        </w:rPr>
        <w:t xml:space="preserve">说明：1、不得填报选择性报价方案； </w:t>
      </w:r>
    </w:p>
    <w:p w14:paraId="17D44EDD">
      <w:pPr>
        <w:spacing w:line="560" w:lineRule="exact"/>
        <w:ind w:firstLine="720" w:firstLineChars="300"/>
        <w:rPr>
          <w:rFonts w:ascii="宋体" w:hAnsi="宋体"/>
          <w:color w:val="auto"/>
          <w:sz w:val="24"/>
        </w:rPr>
      </w:pPr>
      <w:r>
        <w:rPr>
          <w:rFonts w:hint="eastAsia" w:ascii="宋体" w:hAnsi="宋体"/>
          <w:color w:val="auto"/>
          <w:sz w:val="24"/>
        </w:rPr>
        <w:t>2、此表一式一份，按招标文件要求封装，装入正本袋中。</w:t>
      </w:r>
    </w:p>
    <w:p w14:paraId="0AC108C9">
      <w:pPr>
        <w:spacing w:line="560" w:lineRule="exact"/>
        <w:ind w:firstLine="720" w:firstLineChars="300"/>
        <w:rPr>
          <w:rFonts w:ascii="宋体" w:hAnsi="宋体"/>
          <w:color w:val="auto"/>
          <w:sz w:val="24"/>
        </w:rPr>
      </w:pPr>
      <w:r>
        <w:rPr>
          <w:rFonts w:hint="eastAsia" w:ascii="宋体" w:hAnsi="宋体"/>
          <w:color w:val="auto"/>
          <w:sz w:val="24"/>
        </w:rPr>
        <w:t>3、如因投标人填写有误，导致无法唱标，责任由投标人自负。</w:t>
      </w:r>
    </w:p>
    <w:p w14:paraId="7DB9909A">
      <w:pPr>
        <w:rPr>
          <w:color w:val="auto"/>
        </w:rPr>
      </w:pPr>
    </w:p>
    <w:p w14:paraId="12B1296B">
      <w:pPr>
        <w:rPr>
          <w:color w:val="auto"/>
        </w:rPr>
      </w:pPr>
    </w:p>
    <w:p w14:paraId="30BC316B">
      <w:pPr>
        <w:rPr>
          <w:color w:val="auto"/>
        </w:rPr>
      </w:pPr>
    </w:p>
    <w:p w14:paraId="1DD0DA9A">
      <w:pPr>
        <w:rPr>
          <w:color w:val="auto"/>
        </w:rPr>
      </w:pPr>
    </w:p>
    <w:p w14:paraId="101B45BD">
      <w:pPr>
        <w:rPr>
          <w:color w:val="auto"/>
        </w:rPr>
      </w:pPr>
    </w:p>
    <w:p w14:paraId="21CD4F8B">
      <w:pPr>
        <w:rPr>
          <w:color w:val="auto"/>
        </w:rPr>
      </w:pPr>
    </w:p>
    <w:p w14:paraId="3600A0AF">
      <w:pPr>
        <w:spacing w:line="560" w:lineRule="exact"/>
        <w:jc w:val="center"/>
        <w:rPr>
          <w:rFonts w:ascii="黑体" w:eastAsia="黑体"/>
          <w:color w:val="auto"/>
          <w:sz w:val="36"/>
        </w:rPr>
      </w:pPr>
      <w:r>
        <w:rPr>
          <w:rFonts w:hint="eastAsia" w:ascii="黑体" w:eastAsia="黑体"/>
          <w:color w:val="auto"/>
          <w:sz w:val="36"/>
        </w:rPr>
        <w:t>3.授权委托书</w:t>
      </w:r>
    </w:p>
    <w:p w14:paraId="32274DD8">
      <w:pPr>
        <w:spacing w:line="560" w:lineRule="exact"/>
        <w:rPr>
          <w:rFonts w:ascii="楷体_GB2312" w:eastAsia="楷体_GB2312"/>
          <w:color w:val="auto"/>
          <w:sz w:val="24"/>
        </w:rPr>
      </w:pPr>
    </w:p>
    <w:p w14:paraId="5014AB04">
      <w:pPr>
        <w:spacing w:after="240" w:line="360" w:lineRule="auto"/>
        <w:jc w:val="center"/>
        <w:rPr>
          <w:rFonts w:ascii="宋体" w:hAnsi="宋体"/>
          <w:b/>
          <w:color w:val="auto"/>
          <w:sz w:val="32"/>
        </w:rPr>
      </w:pPr>
      <w:r>
        <w:rPr>
          <w:rFonts w:hint="eastAsia" w:ascii="宋体" w:hAnsi="宋体"/>
          <w:b/>
          <w:color w:val="auto"/>
          <w:sz w:val="32"/>
        </w:rPr>
        <w:t>授 权 委 托 书</w:t>
      </w:r>
    </w:p>
    <w:p w14:paraId="235FA668">
      <w:pPr>
        <w:topLinePunct/>
        <w:spacing w:line="360" w:lineRule="auto"/>
        <w:ind w:firstLine="480" w:firstLineChars="200"/>
        <w:rPr>
          <w:color w:val="auto"/>
          <w:sz w:val="24"/>
          <w:u w:val="single"/>
        </w:rPr>
      </w:pPr>
      <w:r>
        <w:rPr>
          <w:rFonts w:hint="eastAsia"/>
          <w:color w:val="auto"/>
          <w:sz w:val="24"/>
        </w:rPr>
        <w:t>本人</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（投标人名称）的法定代表人，现委托</w:t>
      </w:r>
      <w:r>
        <w:rPr>
          <w:rFonts w:hint="eastAsia"/>
          <w:color w:val="auto"/>
          <w:sz w:val="24"/>
          <w:u w:val="single"/>
        </w:rPr>
        <w:t xml:space="preserve">     </w:t>
      </w:r>
      <w:r>
        <w:rPr>
          <w:rFonts w:hint="eastAsia"/>
          <w:color w:val="auto"/>
          <w:sz w:val="24"/>
        </w:rPr>
        <w:t>（姓名）为我方代理人。代理人根据授权，以我方名义签署、澄清、说明、补正、递交、撤回、修改</w:t>
      </w:r>
      <w:r>
        <w:rPr>
          <w:rFonts w:hint="eastAsia" w:ascii="宋体" w:hAnsi="宋体"/>
          <w:color w:val="auto"/>
          <w:sz w:val="24"/>
        </w:rPr>
        <w:t>项目（项目名称）</w:t>
      </w:r>
      <w:r>
        <w:rPr>
          <w:rFonts w:hint="eastAsia"/>
          <w:color w:val="auto"/>
          <w:sz w:val="24"/>
        </w:rPr>
        <w:t>投标文件、签订合同和处理有关事宜，其法律后果由我方承担。</w:t>
      </w:r>
    </w:p>
    <w:p w14:paraId="73209F5E">
      <w:pPr>
        <w:spacing w:line="360" w:lineRule="auto"/>
        <w:rPr>
          <w:color w:val="auto"/>
          <w:sz w:val="24"/>
        </w:rPr>
      </w:pPr>
      <w:r>
        <w:rPr>
          <w:rFonts w:hint="eastAsia"/>
          <w:color w:val="auto"/>
          <w:sz w:val="24"/>
        </w:rPr>
        <w:t>代理人无转委托权。</w:t>
      </w:r>
    </w:p>
    <w:p w14:paraId="2AC6537D">
      <w:pPr>
        <w:spacing w:line="360" w:lineRule="auto"/>
        <w:rPr>
          <w:color w:val="auto"/>
          <w:sz w:val="24"/>
        </w:rPr>
      </w:pPr>
    </w:p>
    <w:p w14:paraId="61349608">
      <w:pPr>
        <w:spacing w:line="440" w:lineRule="exact"/>
        <w:rPr>
          <w:color w:val="auto"/>
          <w:sz w:val="24"/>
        </w:rPr>
      </w:pPr>
      <w:r>
        <w:rPr>
          <w:rFonts w:hint="eastAsia"/>
          <w:color w:val="auto"/>
          <w:sz w:val="24"/>
        </w:rPr>
        <w:t>投标人：（盖单位章）</w:t>
      </w:r>
    </w:p>
    <w:p w14:paraId="033E089E">
      <w:pPr>
        <w:spacing w:line="440" w:lineRule="exact"/>
        <w:rPr>
          <w:color w:val="auto"/>
          <w:sz w:val="24"/>
        </w:rPr>
      </w:pPr>
    </w:p>
    <w:p w14:paraId="03B71028">
      <w:pPr>
        <w:spacing w:line="440" w:lineRule="exact"/>
        <w:rPr>
          <w:color w:val="auto"/>
          <w:sz w:val="24"/>
        </w:rPr>
      </w:pPr>
      <w:r>
        <w:rPr>
          <w:rFonts w:hint="eastAsia"/>
          <w:color w:val="auto"/>
          <w:sz w:val="24"/>
        </w:rPr>
        <w:t>法定代表人：（签字）</w:t>
      </w:r>
    </w:p>
    <w:p w14:paraId="1D22F2EF">
      <w:pPr>
        <w:spacing w:line="440" w:lineRule="exact"/>
        <w:rPr>
          <w:color w:val="auto"/>
          <w:sz w:val="24"/>
        </w:rPr>
      </w:pPr>
    </w:p>
    <w:p w14:paraId="4A758771">
      <w:pPr>
        <w:spacing w:line="440" w:lineRule="exact"/>
        <w:rPr>
          <w:color w:val="auto"/>
          <w:sz w:val="24"/>
        </w:rPr>
      </w:pPr>
      <w:r>
        <w:rPr>
          <w:rFonts w:hint="eastAsia"/>
          <w:color w:val="auto"/>
          <w:sz w:val="24"/>
        </w:rPr>
        <w:t>身份证号码：</w:t>
      </w:r>
    </w:p>
    <w:p w14:paraId="6290E25A">
      <w:pPr>
        <w:spacing w:line="440" w:lineRule="exact"/>
        <w:rPr>
          <w:color w:val="auto"/>
          <w:sz w:val="24"/>
        </w:rPr>
      </w:pPr>
    </w:p>
    <w:p w14:paraId="7FA39AAC">
      <w:pPr>
        <w:spacing w:line="440" w:lineRule="exact"/>
        <w:rPr>
          <w:color w:val="auto"/>
          <w:sz w:val="24"/>
        </w:rPr>
      </w:pPr>
      <w:r>
        <w:rPr>
          <w:rFonts w:hint="eastAsia"/>
          <w:color w:val="auto"/>
          <w:sz w:val="24"/>
        </w:rPr>
        <w:t>委托代理人：（签字）</w:t>
      </w:r>
    </w:p>
    <w:p w14:paraId="0AF067AB">
      <w:pPr>
        <w:spacing w:line="440" w:lineRule="exact"/>
        <w:rPr>
          <w:color w:val="auto"/>
          <w:sz w:val="24"/>
        </w:rPr>
      </w:pPr>
    </w:p>
    <w:p w14:paraId="6466F207">
      <w:pPr>
        <w:spacing w:line="440" w:lineRule="exact"/>
        <w:rPr>
          <w:color w:val="auto"/>
          <w:sz w:val="24"/>
        </w:rPr>
      </w:pPr>
      <w:r>
        <w:rPr>
          <w:rFonts w:hint="eastAsia"/>
          <w:color w:val="auto"/>
          <w:sz w:val="24"/>
        </w:rPr>
        <w:t>身份证号码：附身份证复印件</w:t>
      </w:r>
    </w:p>
    <w:p w14:paraId="54A2EEF7">
      <w:pPr>
        <w:spacing w:line="440" w:lineRule="exact"/>
        <w:rPr>
          <w:color w:val="auto"/>
          <w:sz w:val="24"/>
        </w:rPr>
      </w:pPr>
    </w:p>
    <w:p w14:paraId="42923FF5">
      <w:pPr>
        <w:spacing w:line="440" w:lineRule="exact"/>
        <w:rPr>
          <w:color w:val="auto"/>
          <w:sz w:val="24"/>
        </w:rPr>
      </w:pPr>
    </w:p>
    <w:p w14:paraId="395E8F5B">
      <w:pPr>
        <w:spacing w:line="560" w:lineRule="exact"/>
        <w:ind w:firstLine="120" w:firstLineChars="50"/>
        <w:rPr>
          <w:rFonts w:ascii="楷体_GB2312" w:eastAsia="楷体_GB2312"/>
          <w:color w:val="auto"/>
          <w:sz w:val="24"/>
        </w:rPr>
      </w:pPr>
      <w:r>
        <w:rPr>
          <w:rFonts w:hint="eastAsia"/>
          <w:color w:val="auto"/>
          <w:sz w:val="24"/>
        </w:rPr>
        <w:t>年 月 日</w:t>
      </w:r>
    </w:p>
    <w:p w14:paraId="7FAAD15F">
      <w:pPr>
        <w:spacing w:line="560" w:lineRule="exact"/>
        <w:rPr>
          <w:rFonts w:ascii="楷体_GB2312" w:eastAsia="楷体_GB2312"/>
          <w:color w:val="auto"/>
          <w:sz w:val="24"/>
        </w:rPr>
      </w:pPr>
    </w:p>
    <w:p w14:paraId="3E8BB9E3">
      <w:pPr>
        <w:spacing w:line="560" w:lineRule="exact"/>
        <w:rPr>
          <w:rFonts w:ascii="楷体_GB2312" w:eastAsia="楷体_GB2312"/>
          <w:color w:val="auto"/>
          <w:sz w:val="24"/>
        </w:rPr>
      </w:pPr>
    </w:p>
    <w:p w14:paraId="6DC90EA1">
      <w:pPr>
        <w:spacing w:line="560" w:lineRule="exact"/>
        <w:rPr>
          <w:rFonts w:ascii="楷体_GB2312" w:eastAsia="楷体_GB2312"/>
          <w:color w:val="auto"/>
          <w:sz w:val="24"/>
        </w:rPr>
      </w:pPr>
    </w:p>
    <w:p w14:paraId="32671A36">
      <w:pPr>
        <w:spacing w:line="560" w:lineRule="exact"/>
        <w:rPr>
          <w:rFonts w:ascii="楷体_GB2312" w:eastAsia="楷体_GB2312"/>
          <w:color w:val="auto"/>
          <w:sz w:val="24"/>
        </w:rPr>
      </w:pPr>
    </w:p>
    <w:p w14:paraId="699613D3">
      <w:pPr>
        <w:spacing w:line="560" w:lineRule="exact"/>
        <w:rPr>
          <w:rFonts w:ascii="楷体_GB2312" w:eastAsia="楷体_GB2312"/>
          <w:color w:val="auto"/>
          <w:sz w:val="24"/>
        </w:rPr>
      </w:pPr>
    </w:p>
    <w:p w14:paraId="0605B168">
      <w:pPr>
        <w:spacing w:line="560" w:lineRule="exact"/>
        <w:rPr>
          <w:rFonts w:ascii="楷体_GB2312" w:eastAsia="楷体_GB2312"/>
          <w:color w:val="auto"/>
          <w:sz w:val="24"/>
        </w:rPr>
      </w:pPr>
    </w:p>
    <w:p w14:paraId="5C240171">
      <w:pPr>
        <w:spacing w:line="720" w:lineRule="exact"/>
        <w:jc w:val="both"/>
        <w:rPr>
          <w:rFonts w:ascii="黑体" w:eastAsia="黑体"/>
          <w:color w:val="auto"/>
          <w:sz w:val="36"/>
        </w:rPr>
      </w:pPr>
    </w:p>
    <w:p w14:paraId="64CEB29E">
      <w:pPr>
        <w:spacing w:line="720" w:lineRule="exact"/>
        <w:jc w:val="center"/>
        <w:rPr>
          <w:rFonts w:hint="default" w:ascii="黑体" w:hAnsi="Times New Roman" w:eastAsia="黑体" w:cs="Times New Roman"/>
          <w:color w:val="auto"/>
          <w:sz w:val="36"/>
          <w:lang w:val="en-US" w:eastAsia="zh-CN"/>
        </w:rPr>
      </w:pPr>
      <w:r>
        <w:rPr>
          <w:rFonts w:hint="eastAsia" w:ascii="黑体" w:eastAsia="黑体"/>
          <w:color w:val="auto"/>
          <w:sz w:val="36"/>
          <w:lang w:val="en-US" w:eastAsia="zh-CN"/>
        </w:rPr>
        <w:t>4</w:t>
      </w:r>
      <w:r>
        <w:rPr>
          <w:rFonts w:hint="eastAsia" w:ascii="黑体" w:eastAsia="黑体"/>
          <w:color w:val="auto"/>
          <w:sz w:val="36"/>
        </w:rPr>
        <w:t>.</w:t>
      </w:r>
      <w:r>
        <w:rPr>
          <w:rFonts w:hint="eastAsia" w:ascii="黑体" w:hAnsi="Times New Roman" w:eastAsia="黑体" w:cs="Times New Roman"/>
          <w:color w:val="auto"/>
          <w:sz w:val="36"/>
          <w:lang w:val="en-US" w:eastAsia="zh-CN"/>
        </w:rPr>
        <w:t>质量承诺书</w:t>
      </w:r>
      <w:r>
        <w:rPr>
          <w:rFonts w:hint="eastAsia" w:ascii="黑体" w:eastAsia="黑体" w:cs="Times New Roman"/>
          <w:color w:val="auto"/>
          <w:sz w:val="36"/>
          <w:lang w:val="en-US" w:eastAsia="zh-CN"/>
        </w:rPr>
        <w:t>格式</w:t>
      </w:r>
    </w:p>
    <w:p w14:paraId="7CAFFED2">
      <w:pPr>
        <w:spacing w:line="720" w:lineRule="exact"/>
        <w:jc w:val="center"/>
        <w:rPr>
          <w:rFonts w:hint="eastAsia" w:ascii="黑体" w:hAnsi="Times New Roman" w:eastAsia="黑体" w:cs="Times New Roman"/>
          <w:color w:val="auto"/>
          <w:sz w:val="36"/>
          <w:lang w:val="en-US" w:eastAsia="zh-CN"/>
        </w:rPr>
      </w:pPr>
      <w:r>
        <w:rPr>
          <w:rFonts w:hint="eastAsia" w:ascii="楷体_GB2312" w:eastAsia="楷体_GB2312"/>
          <w:b/>
          <w:color w:val="auto"/>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扬州上善建设工程有限公司</w:t>
      </w:r>
      <w:r>
        <w:rPr>
          <w:rFonts w:hint="eastAsia" w:asciiTheme="minorEastAsia" w:hAnsiTheme="minorEastAsia" w:eastAsiaTheme="minorEastAsia" w:cstheme="minorEastAsia"/>
          <w:color w:val="auto"/>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lang w:val="en-US" w:eastAsia="zh-CN"/>
        </w:rPr>
        <w:t>公</w:t>
      </w:r>
      <w:r>
        <w:rPr>
          <w:rFonts w:hint="eastAsia" w:asciiTheme="minorEastAsia" w:hAnsiTheme="minorEastAsia" w:eastAsiaTheme="minorEastAsia" w:cstheme="minorEastAsia"/>
          <w:color w:val="auto"/>
          <w:sz w:val="24"/>
          <w:szCs w:val="24"/>
        </w:rPr>
        <w:t>司郑重承诺，</w:t>
      </w:r>
      <w:r>
        <w:rPr>
          <w:rFonts w:hint="eastAsia" w:asciiTheme="minorEastAsia" w:hAnsiTheme="minorEastAsia" w:eastAsiaTheme="minorEastAsia" w:cstheme="minorEastAsia"/>
          <w:color w:val="auto"/>
          <w:sz w:val="24"/>
          <w:szCs w:val="24"/>
          <w:lang w:val="en-US" w:eastAsia="zh-CN"/>
        </w:rPr>
        <w:t>就扬州上善建设工程有限公司</w:t>
      </w:r>
      <w:r>
        <w:rPr>
          <w:rFonts w:hint="eastAsia" w:asciiTheme="minorEastAsia" w:hAnsiTheme="minorEastAsia" w:cstheme="minorEastAsia"/>
          <w:color w:val="auto"/>
          <w:sz w:val="24"/>
          <w:szCs w:val="24"/>
          <w:lang w:val="en-US" w:eastAsia="zh-CN"/>
        </w:rPr>
        <w:t>招标项目</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（项目名称）</w:t>
      </w:r>
      <w:r>
        <w:rPr>
          <w:rFonts w:hint="eastAsia" w:asciiTheme="minorEastAsia" w:hAnsiTheme="minorEastAsia" w:eastAsiaTheme="minorEastAsia" w:cstheme="minorEastAsia"/>
          <w:color w:val="auto"/>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 </w:t>
      </w:r>
      <w:r>
        <w:rPr>
          <w:rFonts w:hint="eastAsia" w:asciiTheme="minorEastAsia" w:hAnsiTheme="minorEastAsia" w:cstheme="minorEastAsia"/>
          <w:color w:val="auto"/>
          <w:sz w:val="24"/>
          <w:szCs w:val="24"/>
          <w:lang w:val="en-US" w:eastAsia="zh-CN"/>
        </w:rPr>
        <w:t>24小时内</w:t>
      </w:r>
      <w:r>
        <w:rPr>
          <w:rFonts w:hint="eastAsia" w:asciiTheme="minorEastAsia" w:hAnsiTheme="minorEastAsia" w:eastAsiaTheme="minorEastAsia" w:cstheme="minorEastAsia"/>
          <w:color w:val="auto"/>
          <w:sz w:val="24"/>
          <w:szCs w:val="24"/>
        </w:rPr>
        <w:t>响应您的质量投诉，在响应时间内给予答复，并在</w:t>
      </w:r>
      <w:r>
        <w:rPr>
          <w:rFonts w:hint="eastAsia" w:asciiTheme="minorEastAsia" w:hAnsiTheme="minorEastAsia" w:cstheme="minorEastAsia"/>
          <w:color w:val="auto"/>
          <w:sz w:val="24"/>
          <w:szCs w:val="24"/>
          <w:lang w:val="en-US" w:eastAsia="zh-CN"/>
        </w:rPr>
        <w:t>48小时内</w:t>
      </w:r>
      <w:r>
        <w:rPr>
          <w:rFonts w:hint="eastAsia" w:asciiTheme="minorEastAsia" w:hAnsiTheme="minorEastAsia" w:eastAsiaTheme="minorEastAsia" w:cstheme="minorEastAsia"/>
          <w:color w:val="auto"/>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我司将持续努力提升产品质量，以满足您的需求</w:t>
      </w:r>
      <w:r>
        <w:rPr>
          <w:rFonts w:hint="eastAsia" w:asciiTheme="minorEastAsia" w:hAnsiTheme="minorEastAsia" w:eastAsiaTheme="minorEastAsia" w:cstheme="minorEastAsia"/>
          <w:color w:val="auto"/>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承诺人：</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盖章</w:t>
      </w:r>
      <w:r>
        <w:rPr>
          <w:rFonts w:hint="eastAsia" w:asciiTheme="minorEastAsia" w:hAnsiTheme="minorEastAsia" w:cstheme="minorEastAsia"/>
          <w:color w:val="auto"/>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日期：</w:t>
      </w:r>
    </w:p>
    <w:p w14:paraId="0DEE7973">
      <w:pPr>
        <w:wordWrap w:val="0"/>
        <w:spacing w:line="360" w:lineRule="auto"/>
        <w:jc w:val="right"/>
        <w:rPr>
          <w:rFonts w:hint="eastAsia" w:ascii="方正仿宋_GBK" w:hAnsi="方正仿宋_GBK" w:eastAsia="方正仿宋_GBK" w:cs="方正仿宋_GBK"/>
          <w:bCs/>
          <w:color w:val="auto"/>
          <w:sz w:val="24"/>
        </w:rPr>
      </w:pPr>
    </w:p>
    <w:p w14:paraId="702CB898">
      <w:pPr>
        <w:wordWrap w:val="0"/>
        <w:spacing w:line="360" w:lineRule="auto"/>
        <w:jc w:val="right"/>
        <w:rPr>
          <w:rFonts w:hint="eastAsia" w:ascii="方正仿宋_GBK" w:hAnsi="方正仿宋_GBK" w:eastAsia="方正仿宋_GBK" w:cs="方正仿宋_GBK"/>
          <w:bCs/>
          <w:color w:val="auto"/>
          <w:sz w:val="24"/>
        </w:rPr>
      </w:pPr>
    </w:p>
    <w:p w14:paraId="126C12A9">
      <w:pPr>
        <w:wordWrap w:val="0"/>
        <w:spacing w:line="360" w:lineRule="auto"/>
        <w:jc w:val="right"/>
        <w:rPr>
          <w:rFonts w:hint="eastAsia" w:ascii="方正仿宋_GBK" w:hAnsi="方正仿宋_GBK" w:eastAsia="方正仿宋_GBK" w:cs="方正仿宋_GBK"/>
          <w:bCs/>
          <w:color w:val="auto"/>
          <w:sz w:val="24"/>
        </w:rPr>
      </w:pPr>
    </w:p>
    <w:p w14:paraId="07A0953D">
      <w:pPr>
        <w:wordWrap w:val="0"/>
        <w:spacing w:line="360" w:lineRule="auto"/>
        <w:jc w:val="right"/>
        <w:rPr>
          <w:rFonts w:hint="eastAsia" w:ascii="方正仿宋_GBK" w:hAnsi="方正仿宋_GBK" w:eastAsia="方正仿宋_GBK" w:cs="方正仿宋_GBK"/>
          <w:bCs/>
          <w:color w:val="auto"/>
          <w:sz w:val="24"/>
        </w:rPr>
      </w:pPr>
    </w:p>
    <w:p w14:paraId="43ED4344">
      <w:pPr>
        <w:wordWrap w:val="0"/>
        <w:spacing w:line="360" w:lineRule="auto"/>
        <w:jc w:val="right"/>
        <w:rPr>
          <w:rFonts w:hint="eastAsia" w:ascii="方正仿宋_GBK" w:hAnsi="方正仿宋_GBK" w:eastAsia="方正仿宋_GBK" w:cs="方正仿宋_GBK"/>
          <w:bCs/>
          <w:color w:val="auto"/>
          <w:sz w:val="24"/>
        </w:rPr>
      </w:pPr>
    </w:p>
    <w:p w14:paraId="0BE3D9CD">
      <w:pPr>
        <w:wordWrap w:val="0"/>
        <w:spacing w:line="360" w:lineRule="auto"/>
        <w:jc w:val="right"/>
        <w:rPr>
          <w:rFonts w:hint="default" w:ascii="方正小标宋_GBK" w:hAnsi="宋体" w:eastAsia="方正仿宋_GBK"/>
          <w:b/>
          <w:bCs/>
          <w:color w:val="auto"/>
          <w:sz w:val="72"/>
          <w:szCs w:val="72"/>
          <w:u w:val="single"/>
          <w:lang w:val="en-US" w:eastAsia="zh-CN"/>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lang w:val="en-US" w:eastAsia="zh-CN"/>
        </w:rPr>
        <w:t xml:space="preserve">                 </w:t>
      </w:r>
    </w:p>
    <w:p w14:paraId="36FEEE6B">
      <w:pPr>
        <w:spacing w:line="360" w:lineRule="auto"/>
        <w:rPr>
          <w:rFonts w:ascii="方正小标宋_GBK" w:hAnsi="宋体" w:eastAsia="方正小标宋_GBK"/>
          <w:b/>
          <w:bCs/>
          <w:color w:val="auto"/>
          <w:sz w:val="72"/>
          <w:szCs w:val="72"/>
        </w:rPr>
      </w:pPr>
    </w:p>
    <w:p w14:paraId="4CC3BB96">
      <w:pPr>
        <w:spacing w:line="360" w:lineRule="auto"/>
        <w:rPr>
          <w:rFonts w:ascii="方正小标宋_GBK" w:hAnsi="宋体" w:eastAsia="方正小标宋_GBK"/>
          <w:b/>
          <w:bCs/>
          <w:color w:val="auto"/>
          <w:sz w:val="72"/>
          <w:szCs w:val="72"/>
        </w:rPr>
      </w:pPr>
    </w:p>
    <w:p w14:paraId="5675C504">
      <w:pPr>
        <w:spacing w:line="360" w:lineRule="auto"/>
        <w:jc w:val="center"/>
        <w:rPr>
          <w:rFonts w:ascii="方正仿宋_GBK" w:hAnsi="方正仿宋_GBK" w:eastAsia="方正仿宋_GBK" w:cs="方正仿宋_GBK"/>
          <w:bCs/>
          <w:color w:val="auto"/>
          <w:sz w:val="72"/>
          <w:szCs w:val="72"/>
        </w:rPr>
      </w:pPr>
      <w:r>
        <w:rPr>
          <w:rFonts w:hint="eastAsia" w:ascii="方正小标宋_GBK" w:hAnsi="宋体" w:eastAsia="方正小标宋_GBK"/>
          <w:b/>
          <w:bCs/>
          <w:color w:val="auto"/>
          <w:sz w:val="72"/>
          <w:szCs w:val="72"/>
        </w:rPr>
        <w:t>采 购 合 同</w:t>
      </w:r>
    </w:p>
    <w:p w14:paraId="025E1A38">
      <w:pPr>
        <w:spacing w:line="360" w:lineRule="auto"/>
        <w:ind w:firstLine="5498" w:firstLineChars="2291"/>
        <w:rPr>
          <w:rFonts w:ascii="方正仿宋_GBK" w:hAnsi="方正仿宋_GBK" w:eastAsia="方正仿宋_GBK" w:cs="方正仿宋_GBK"/>
          <w:bCs/>
          <w:color w:val="auto"/>
          <w:sz w:val="24"/>
        </w:rPr>
      </w:pPr>
    </w:p>
    <w:p w14:paraId="1EC6B416">
      <w:pPr>
        <w:spacing w:line="360" w:lineRule="auto"/>
        <w:ind w:firstLine="5498" w:firstLineChars="2291"/>
        <w:rPr>
          <w:rFonts w:ascii="方正仿宋_GBK" w:hAnsi="方正仿宋_GBK" w:eastAsia="方正仿宋_GBK" w:cs="方正仿宋_GBK"/>
          <w:bCs/>
          <w:color w:val="auto"/>
          <w:sz w:val="24"/>
        </w:rPr>
      </w:pPr>
    </w:p>
    <w:p w14:paraId="7EFD151D">
      <w:pPr>
        <w:spacing w:line="360" w:lineRule="auto"/>
        <w:ind w:firstLine="5498" w:firstLineChars="2291"/>
        <w:rPr>
          <w:rFonts w:ascii="方正仿宋_GBK" w:hAnsi="方正仿宋_GBK" w:eastAsia="方正仿宋_GBK" w:cs="方正仿宋_GBK"/>
          <w:bCs/>
          <w:color w:val="auto"/>
          <w:sz w:val="24"/>
        </w:rPr>
      </w:pPr>
    </w:p>
    <w:p w14:paraId="5A3481C3">
      <w:pPr>
        <w:spacing w:line="360" w:lineRule="auto"/>
        <w:ind w:firstLine="5498" w:firstLineChars="2291"/>
        <w:rPr>
          <w:rFonts w:ascii="方正仿宋_GBK" w:hAnsi="方正仿宋_GBK" w:eastAsia="方正仿宋_GBK" w:cs="方正仿宋_GBK"/>
          <w:bCs/>
          <w:color w:val="auto"/>
          <w:sz w:val="24"/>
        </w:rPr>
      </w:pPr>
    </w:p>
    <w:p w14:paraId="0E6F7098">
      <w:pPr>
        <w:spacing w:line="360" w:lineRule="auto"/>
        <w:ind w:firstLine="5498" w:firstLineChars="2291"/>
        <w:rPr>
          <w:rFonts w:ascii="方正仿宋_GBK" w:hAnsi="方正仿宋_GBK" w:eastAsia="方正仿宋_GBK" w:cs="方正仿宋_GBK"/>
          <w:bCs/>
          <w:color w:val="auto"/>
          <w:sz w:val="24"/>
        </w:rPr>
      </w:pPr>
    </w:p>
    <w:p w14:paraId="732375C0">
      <w:pPr>
        <w:spacing w:line="360" w:lineRule="auto"/>
        <w:ind w:firstLine="5498" w:firstLineChars="2291"/>
        <w:rPr>
          <w:rFonts w:ascii="方正仿宋_GBK" w:hAnsi="方正仿宋_GBK" w:eastAsia="方正仿宋_GBK" w:cs="方正仿宋_GBK"/>
          <w:bCs/>
          <w:color w:val="auto"/>
          <w:sz w:val="24"/>
        </w:rPr>
      </w:pPr>
    </w:p>
    <w:p w14:paraId="3EAA8497">
      <w:pPr>
        <w:spacing w:line="360" w:lineRule="auto"/>
        <w:ind w:firstLine="5498" w:firstLineChars="2291"/>
        <w:rPr>
          <w:rFonts w:ascii="方正仿宋_GBK" w:hAnsi="方正仿宋_GBK" w:eastAsia="方正仿宋_GBK" w:cs="方正仿宋_GBK"/>
          <w:bCs/>
          <w:color w:val="auto"/>
          <w:sz w:val="24"/>
        </w:rPr>
      </w:pPr>
    </w:p>
    <w:p w14:paraId="57CE9390">
      <w:pPr>
        <w:spacing w:line="360" w:lineRule="auto"/>
        <w:ind w:firstLine="5498" w:firstLineChars="2291"/>
        <w:rPr>
          <w:rFonts w:ascii="方正仿宋_GBK" w:hAnsi="方正仿宋_GBK" w:eastAsia="方正仿宋_GBK" w:cs="方正仿宋_GBK"/>
          <w:bCs/>
          <w:color w:val="auto"/>
          <w:sz w:val="24"/>
        </w:rPr>
      </w:pPr>
    </w:p>
    <w:p w14:paraId="1D75DFCC">
      <w:pPr>
        <w:spacing w:line="360" w:lineRule="auto"/>
        <w:ind w:firstLine="5498" w:firstLineChars="2291"/>
        <w:rPr>
          <w:rFonts w:ascii="方正仿宋_GBK" w:hAnsi="方正仿宋_GBK" w:eastAsia="方正仿宋_GBK" w:cs="方正仿宋_GBK"/>
          <w:bCs/>
          <w:color w:val="auto"/>
          <w:sz w:val="24"/>
        </w:rPr>
      </w:pPr>
    </w:p>
    <w:p w14:paraId="1A223E27">
      <w:pPr>
        <w:spacing w:line="360" w:lineRule="auto"/>
        <w:ind w:firstLine="5520" w:firstLineChars="2291"/>
        <w:rPr>
          <w:rFonts w:ascii="方正仿宋_GBK" w:hAnsi="方正仿宋_GBK" w:eastAsia="方正仿宋_GBK" w:cs="方正仿宋_GBK"/>
          <w:b/>
          <w:bCs/>
          <w:color w:val="auto"/>
          <w:sz w:val="24"/>
          <w:u w:val="single"/>
        </w:rPr>
      </w:pPr>
    </w:p>
    <w:p w14:paraId="21B442BA">
      <w:pPr>
        <w:spacing w:line="360" w:lineRule="auto"/>
        <w:jc w:val="center"/>
        <w:rPr>
          <w:rFonts w:ascii="方正小标宋_GBK" w:hAnsi="宋体" w:eastAsia="方正小标宋_GBK"/>
          <w:b/>
          <w:bCs/>
          <w:color w:val="auto"/>
          <w:sz w:val="36"/>
          <w:szCs w:val="36"/>
          <w:u w:val="single"/>
        </w:rPr>
      </w:pPr>
    </w:p>
    <w:p w14:paraId="2F3AD728">
      <w:pPr>
        <w:wordWrap w:val="0"/>
        <w:spacing w:line="360" w:lineRule="auto"/>
        <w:jc w:val="both"/>
        <w:rPr>
          <w:rFonts w:hint="eastAsia" w:ascii="方正仿宋_GBK" w:hAnsi="方正仿宋_GBK" w:eastAsia="方正仿宋_GBK" w:cs="方正仿宋_GBK"/>
          <w:bCs/>
          <w:color w:val="auto"/>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auto"/>
          <w:sz w:val="72"/>
          <w:szCs w:val="72"/>
          <w:u w:val="single"/>
          <w:lang w:val="en-US" w:eastAsia="zh-CN"/>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lang w:val="en-US" w:eastAsia="zh-CN"/>
        </w:rPr>
        <w:t xml:space="preserve">              </w:t>
      </w:r>
    </w:p>
    <w:p w14:paraId="21E7AA2F">
      <w:pPr>
        <w:spacing w:line="360" w:lineRule="auto"/>
        <w:jc w:val="center"/>
        <w:rPr>
          <w:rFonts w:ascii="方正小标宋_GBK" w:hAnsi="宋体" w:eastAsia="方正小标宋_GBK"/>
          <w:b/>
          <w:bCs/>
          <w:color w:val="auto"/>
          <w:sz w:val="36"/>
          <w:szCs w:val="36"/>
        </w:rPr>
      </w:pPr>
      <w:r>
        <w:rPr>
          <w:rFonts w:hint="eastAsia" w:ascii="方正小标宋_GBK" w:hAnsi="宋体" w:eastAsia="方正小标宋_GBK"/>
          <w:b/>
          <w:bCs/>
          <w:color w:val="auto"/>
          <w:sz w:val="36"/>
          <w:szCs w:val="36"/>
        </w:rPr>
        <w:t>采购合同</w:t>
      </w:r>
    </w:p>
    <w:p w14:paraId="1B5ED028">
      <w:pPr>
        <w:spacing w:line="360" w:lineRule="auto"/>
        <w:jc w:val="center"/>
        <w:rPr>
          <w:rFonts w:ascii="方正小标宋_GBK" w:hAnsi="宋体" w:eastAsia="方正小标宋_GBK"/>
          <w:b/>
          <w:bCs/>
          <w:color w:val="auto"/>
          <w:sz w:val="36"/>
          <w:szCs w:val="36"/>
        </w:rPr>
      </w:pPr>
    </w:p>
    <w:p w14:paraId="06E54389">
      <w:pPr>
        <w:spacing w:line="360" w:lineRule="auto"/>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甲方（需方）：</w:t>
      </w:r>
      <w:r>
        <w:rPr>
          <w:rFonts w:hint="eastAsia" w:ascii="方正仿宋_GBK" w:hAnsi="方正仿宋_GBK" w:eastAsia="方正仿宋_GBK" w:cs="方正仿宋_GBK"/>
          <w:b/>
          <w:color w:val="auto"/>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auto"/>
          <w:sz w:val="24"/>
          <w:lang w:val="en-US" w:eastAsia="zh-CN"/>
        </w:rPr>
      </w:pPr>
      <w:r>
        <w:rPr>
          <w:rFonts w:hint="eastAsia" w:ascii="方正仿宋_GBK" w:hAnsi="方正仿宋_GBK" w:eastAsia="方正仿宋_GBK" w:cs="方正仿宋_GBK"/>
          <w:b/>
          <w:color w:val="auto"/>
          <w:sz w:val="24"/>
        </w:rPr>
        <w:t>乙方（供方）：</w:t>
      </w:r>
    </w:p>
    <w:p w14:paraId="5B78876B">
      <w:pPr>
        <w:spacing w:line="360" w:lineRule="auto"/>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auto"/>
          <w:sz w:val="24"/>
          <w:u w:val="single"/>
          <w:lang w:val="en-US" w:eastAsia="zh-CN"/>
        </w:rPr>
        <w:t xml:space="preserve"> 公道、方巷、杨寿污水收集处理系统改造工程（二期）EPC工程一体化泵站材料采购</w:t>
      </w:r>
      <w:r>
        <w:rPr>
          <w:rFonts w:hint="eastAsia" w:ascii="方正仿宋_GBK" w:hAnsi="方正仿宋_GBK" w:eastAsia="方正仿宋_GBK" w:cs="方正仿宋_GBK"/>
          <w:color w:val="auto"/>
          <w:sz w:val="24"/>
        </w:rPr>
        <w:t>事宜协商达成一致，制定本合同。</w:t>
      </w:r>
    </w:p>
    <w:p w14:paraId="3217D770">
      <w:pPr>
        <w:numPr>
          <w:ilvl w:val="0"/>
          <w:numId w:val="5"/>
        </w:numPr>
        <w:spacing w:after="156" w:afterLines="50" w:line="360" w:lineRule="auto"/>
        <w:ind w:firstLine="482"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
          <w:color w:val="auto"/>
          <w:sz w:val="24"/>
        </w:rPr>
        <w:t xml:space="preserve"> </w:t>
      </w:r>
      <w:r>
        <w:rPr>
          <w:rFonts w:hint="eastAsia" w:ascii="方正仿宋_GBK" w:hAnsi="方正仿宋_GBK" w:eastAsia="方正仿宋_GBK" w:cs="方正仿宋_GBK"/>
          <w:bCs/>
          <w:color w:val="auto"/>
          <w:sz w:val="24"/>
        </w:rPr>
        <w:t>供货清单</w:t>
      </w:r>
    </w:p>
    <w:tbl>
      <w:tblPr>
        <w:tblStyle w:val="18"/>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5C74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70353BBF">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物资</w:t>
            </w:r>
          </w:p>
          <w:p w14:paraId="5791CF24">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1EF356A4">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1D26FD2A">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5117C84C">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0A98C8B1">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单价</w:t>
            </w:r>
            <w:r>
              <w:rPr>
                <w:rFonts w:hint="eastAsia" w:ascii="方正仿宋_GBK" w:hAnsi="方正仿宋_GBK" w:eastAsia="方正仿宋_GBK" w:cs="方正仿宋_GBK"/>
                <w:bCs/>
                <w:color w:val="auto"/>
                <w:sz w:val="24"/>
              </w:rPr>
              <w:t>（元）</w:t>
            </w:r>
          </w:p>
          <w:p w14:paraId="44C999AE">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lang w:eastAsia="zh-CN"/>
              </w:rPr>
              <w:t>（含13%税价）</w:t>
            </w:r>
          </w:p>
        </w:tc>
        <w:tc>
          <w:tcPr>
            <w:tcW w:w="822" w:type="pct"/>
            <w:tcBorders>
              <w:top w:val="single" w:color="auto" w:sz="4" w:space="0"/>
              <w:left w:val="single" w:color="auto" w:sz="4" w:space="0"/>
              <w:bottom w:val="single" w:color="auto" w:sz="4" w:space="0"/>
              <w:right w:val="single" w:color="auto" w:sz="4" w:space="0"/>
            </w:tcBorders>
            <w:vAlign w:val="center"/>
          </w:tcPr>
          <w:p w14:paraId="26F5339E">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总价</w:t>
            </w:r>
            <w:r>
              <w:rPr>
                <w:rFonts w:hint="eastAsia" w:ascii="方正仿宋_GBK" w:hAnsi="方正仿宋_GBK" w:eastAsia="方正仿宋_GBK" w:cs="方正仿宋_GBK"/>
                <w:bCs/>
                <w:color w:val="auto"/>
                <w:sz w:val="24"/>
                <w:lang w:val="en-US" w:eastAsia="zh-CN"/>
              </w:rPr>
              <w:t xml:space="preserve"> </w:t>
            </w: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rPr>
              <w:t>含13%税价</w:t>
            </w:r>
            <w:r>
              <w:rPr>
                <w:rFonts w:hint="eastAsia" w:ascii="方正仿宋_GBK" w:hAnsi="方正仿宋_GBK" w:eastAsia="方正仿宋_GBK" w:cs="方正仿宋_GBK"/>
                <w:bCs/>
                <w:color w:val="auto"/>
                <w:sz w:val="24"/>
                <w:lang w:eastAsia="zh-CN"/>
              </w:rPr>
              <w:t>）</w:t>
            </w:r>
          </w:p>
        </w:tc>
        <w:tc>
          <w:tcPr>
            <w:tcW w:w="859" w:type="pct"/>
            <w:tcBorders>
              <w:top w:val="single" w:color="auto" w:sz="4" w:space="0"/>
              <w:left w:val="single" w:color="auto" w:sz="4" w:space="0"/>
              <w:bottom w:val="single" w:color="auto" w:sz="4" w:space="0"/>
              <w:right w:val="single" w:color="auto" w:sz="4" w:space="0"/>
            </w:tcBorders>
            <w:vAlign w:val="center"/>
          </w:tcPr>
          <w:p w14:paraId="19A75BDB">
            <w:pPr>
              <w:adjustRightInd w:val="0"/>
              <w:snapToGrid w:val="0"/>
              <w:jc w:val="center"/>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lang w:val="en-US" w:eastAsia="zh-CN"/>
              </w:rPr>
              <w:t>备注</w:t>
            </w:r>
          </w:p>
        </w:tc>
      </w:tr>
      <w:tr w14:paraId="1E22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263BF187">
            <w:pPr>
              <w:adjustRightInd w:val="0"/>
              <w:snapToGrid w:val="0"/>
              <w:jc w:val="center"/>
              <w:rPr>
                <w:rFonts w:hint="default" w:ascii="方正仿宋_GBK" w:hAnsi="方正仿宋_GBK" w:eastAsia="方正仿宋_GBK" w:cs="方正仿宋_GBK"/>
                <w:bCs/>
                <w:color w:val="auto"/>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6FA78AF">
            <w:pPr>
              <w:adjustRightInd w:val="0"/>
              <w:snapToGrid w:val="0"/>
              <w:jc w:val="center"/>
              <w:rPr>
                <w:rFonts w:hint="eastAsia" w:ascii="方正仿宋_GBK" w:hAnsi="方正仿宋_GBK" w:eastAsia="方正仿宋_GBK" w:cs="方正仿宋_GBK"/>
                <w:bCs/>
                <w:color w:val="auto"/>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221C4AB9">
            <w:pPr>
              <w:adjustRightInd w:val="0"/>
              <w:snapToGrid w:val="0"/>
              <w:jc w:val="center"/>
              <w:rPr>
                <w:rFonts w:hint="eastAsia" w:ascii="方正仿宋_GBK" w:hAnsi="方正仿宋_GBK" w:eastAsia="方正仿宋_GBK" w:cs="方正仿宋_GBK"/>
                <w:bCs/>
                <w:color w:val="auto"/>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113DD29F">
            <w:pPr>
              <w:adjustRightInd w:val="0"/>
              <w:snapToGrid w:val="0"/>
              <w:jc w:val="center"/>
              <w:rPr>
                <w:rFonts w:hint="eastAsia" w:ascii="方正仿宋_GBK" w:hAnsi="方正仿宋_GBK" w:eastAsia="方正仿宋_GBK" w:cs="方正仿宋_GBK"/>
                <w:bCs/>
                <w:color w:val="auto"/>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15680E50">
            <w:pPr>
              <w:adjustRightInd w:val="0"/>
              <w:snapToGrid w:val="0"/>
              <w:jc w:val="center"/>
              <w:rPr>
                <w:rFonts w:hint="eastAsia" w:ascii="方正仿宋_GBK" w:hAnsi="方正仿宋_GBK" w:eastAsia="方正仿宋_GBK" w:cs="方正仿宋_GBK"/>
                <w:bCs/>
                <w:color w:val="auto"/>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78BC2481">
            <w:pPr>
              <w:adjustRightInd w:val="0"/>
              <w:snapToGrid w:val="0"/>
              <w:jc w:val="center"/>
              <w:rPr>
                <w:rFonts w:hint="default" w:ascii="方正仿宋_GBK" w:hAnsi="方正仿宋_GBK" w:eastAsia="方正仿宋_GBK" w:cs="方正仿宋_GBK"/>
                <w:bCs/>
                <w:color w:val="auto"/>
                <w:sz w:val="24"/>
                <w:lang w:val="en-US" w:eastAsia="zh-CN"/>
              </w:rPr>
            </w:pPr>
          </w:p>
        </w:tc>
        <w:tc>
          <w:tcPr>
            <w:tcW w:w="859" w:type="pct"/>
            <w:tcBorders>
              <w:top w:val="single" w:color="auto" w:sz="4" w:space="0"/>
              <w:left w:val="single" w:color="auto" w:sz="4" w:space="0"/>
              <w:bottom w:val="single" w:color="auto" w:sz="4" w:space="0"/>
            </w:tcBorders>
            <w:vAlign w:val="center"/>
          </w:tcPr>
          <w:p w14:paraId="30C81846">
            <w:pPr>
              <w:keepNext w:val="0"/>
              <w:keepLines w:val="0"/>
              <w:widowControl/>
              <w:suppressLineNumbers w:val="0"/>
              <w:jc w:val="center"/>
              <w:textAlignment w:val="center"/>
              <w:rPr>
                <w:rFonts w:hint="eastAsia" w:ascii="仿宋" w:hAnsi="仿宋" w:eastAsia="仿宋" w:cs="仿宋"/>
                <w:bCs/>
                <w:color w:val="auto"/>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Cs/>
                <w:color w:val="auto"/>
                <w:sz w:val="24"/>
                <w:szCs w:val="24"/>
              </w:rPr>
              <w:t>合计：</w:t>
            </w:r>
            <w:r>
              <w:rPr>
                <w:rFonts w:hint="eastAsia" w:ascii="方正仿宋_GBK" w:hAnsi="方正仿宋_GBK" w:eastAsia="方正仿宋_GBK" w:cs="方正仿宋_GBK"/>
                <w:bCs/>
                <w:color w:val="auto"/>
                <w:sz w:val="24"/>
                <w:szCs w:val="24"/>
                <w:u w:val="single"/>
              </w:rPr>
              <w:t>¥</w:t>
            </w:r>
            <w:r>
              <w:rPr>
                <w:rFonts w:hint="eastAsia" w:ascii="方正仿宋_GBK" w:hAnsi="方正仿宋_GBK" w:eastAsia="方正仿宋_GBK" w:cs="方正仿宋_GBK"/>
                <w:bCs/>
                <w:color w:val="auto"/>
                <w:sz w:val="24"/>
                <w:szCs w:val="24"/>
                <w:u w:val="single"/>
                <w:lang w:val="en-US" w:eastAsia="zh-CN"/>
              </w:rPr>
              <w:t xml:space="preserve">           </w:t>
            </w:r>
            <w:r>
              <w:rPr>
                <w:rFonts w:hint="eastAsia" w:ascii="方正仿宋_GBK" w:hAnsi="方正仿宋_GBK" w:eastAsia="方正仿宋_GBK" w:cs="方正仿宋_GBK"/>
                <w:bCs/>
                <w:color w:val="auto"/>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color w:val="auto"/>
                <w:kern w:val="2"/>
                <w:sz w:val="21"/>
                <w:szCs w:val="24"/>
                <w:lang w:val="en-US" w:eastAsia="zh-CN" w:bidi="ar-SA"/>
              </w:rPr>
            </w:pPr>
            <w:r>
              <w:rPr>
                <w:rFonts w:hint="eastAsia" w:ascii="方正仿宋_GBK" w:hAnsi="方正仿宋_GBK" w:eastAsia="方正仿宋_GBK" w:cs="方正仿宋_GBK"/>
                <w:bCs/>
                <w:color w:val="auto"/>
                <w:sz w:val="24"/>
                <w:szCs w:val="24"/>
                <w:lang w:val="en-US" w:eastAsia="zh-CN"/>
              </w:rPr>
              <w:t>其中不含税金额合计：</w:t>
            </w:r>
            <w:r>
              <w:rPr>
                <w:rFonts w:hint="eastAsia" w:ascii="方正仿宋_GBK" w:hAnsi="方正仿宋_GBK" w:eastAsia="方正仿宋_GBK" w:cs="方正仿宋_GBK"/>
                <w:bCs/>
                <w:color w:val="auto"/>
                <w:sz w:val="24"/>
                <w:szCs w:val="24"/>
                <w:u w:val="single"/>
                <w:lang w:val="en-US" w:eastAsia="zh-CN"/>
              </w:rPr>
              <w:t xml:space="preserve"> 元</w:t>
            </w:r>
            <w:r>
              <w:rPr>
                <w:rFonts w:hint="eastAsia" w:ascii="方正仿宋_GBK" w:hAnsi="方正仿宋_GBK" w:eastAsia="方正仿宋_GBK" w:cs="方正仿宋_GBK"/>
                <w:bCs/>
                <w:color w:val="auto"/>
                <w:sz w:val="24"/>
                <w:szCs w:val="24"/>
                <w:u w:val="none"/>
                <w:lang w:eastAsia="zh-CN"/>
              </w:rPr>
              <w:t>，</w:t>
            </w:r>
            <w:r>
              <w:rPr>
                <w:rFonts w:hint="eastAsia" w:ascii="方正仿宋_GBK" w:hAnsi="方正仿宋_GBK" w:eastAsia="方正仿宋_GBK" w:cs="方正仿宋_GBK"/>
                <w:bCs/>
                <w:color w:val="auto"/>
                <w:sz w:val="24"/>
                <w:szCs w:val="24"/>
                <w:u w:val="none"/>
                <w:lang w:val="en-US" w:eastAsia="zh-CN"/>
              </w:rPr>
              <w:t>增值税：</w:t>
            </w:r>
            <w:r>
              <w:rPr>
                <w:rFonts w:hint="eastAsia" w:ascii="方正仿宋_GBK" w:hAnsi="方正仿宋_GBK" w:eastAsia="方正仿宋_GBK" w:cs="方正仿宋_GBK"/>
                <w:bCs/>
                <w:color w:val="auto"/>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auto"/>
                <w:kern w:val="2"/>
                <w:sz w:val="24"/>
                <w:szCs w:val="24"/>
                <w:lang w:val="en-US" w:eastAsia="zh-CN" w:bidi="ar-SA"/>
              </w:rPr>
            </w:pPr>
          </w:p>
        </w:tc>
      </w:tr>
    </w:tbl>
    <w:p w14:paraId="253153CC">
      <w:pPr>
        <w:pStyle w:val="4"/>
        <w:numPr>
          <w:ilvl w:val="0"/>
          <w:numId w:val="0"/>
        </w:numPr>
        <w:rPr>
          <w:color w:val="auto"/>
        </w:rPr>
      </w:pPr>
    </w:p>
    <w:p w14:paraId="5A6597AF">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第二条  </w:t>
      </w:r>
      <w:r>
        <w:rPr>
          <w:rFonts w:hint="eastAsia" w:ascii="方正仿宋_GBK" w:hAnsi="方正仿宋_GBK" w:eastAsia="方正仿宋_GBK" w:cs="方正仿宋_GBK"/>
          <w:bCs/>
          <w:color w:val="auto"/>
          <w:sz w:val="24"/>
        </w:rPr>
        <w:t>交货方式</w:t>
      </w:r>
    </w:p>
    <w:p w14:paraId="1981C36A">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1、甲方指定的交货地点：卸货由</w:t>
      </w:r>
      <w:r>
        <w:rPr>
          <w:rFonts w:hint="eastAsia" w:ascii="方正仿宋_GBK" w:hAnsi="方正仿宋_GBK" w:eastAsia="方正仿宋_GBK" w:cs="方正仿宋_GBK"/>
          <w:color w:val="auto"/>
          <w:sz w:val="24"/>
          <w:u w:val="single"/>
        </w:rPr>
        <w:t>乙</w:t>
      </w:r>
      <w:r>
        <w:rPr>
          <w:rFonts w:hint="eastAsia" w:ascii="方正仿宋_GBK" w:hAnsi="方正仿宋_GBK" w:eastAsia="方正仿宋_GBK" w:cs="方正仿宋_GBK"/>
          <w:color w:val="auto"/>
          <w:sz w:val="24"/>
        </w:rPr>
        <w:t>方负责。</w:t>
      </w:r>
    </w:p>
    <w:p w14:paraId="2E25C9CF">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第三条  </w:t>
      </w:r>
      <w:r>
        <w:rPr>
          <w:rFonts w:hint="eastAsia" w:ascii="方正仿宋_GBK" w:hAnsi="方正仿宋_GBK" w:eastAsia="方正仿宋_GBK" w:cs="方正仿宋_GBK"/>
          <w:bCs/>
          <w:color w:val="auto"/>
          <w:sz w:val="24"/>
        </w:rPr>
        <w:t>价格条款</w:t>
      </w:r>
    </w:p>
    <w:p w14:paraId="5E8EA618">
      <w:pPr>
        <w:spacing w:line="64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1、货物单价：该单价</w:t>
      </w:r>
      <w:r>
        <w:rPr>
          <w:rFonts w:hint="eastAsia" w:ascii="方正仿宋_GBK" w:hAnsi="方正仿宋_GBK" w:eastAsia="方正仿宋_GBK" w:cs="方正仿宋_GBK"/>
          <w:color w:val="auto"/>
          <w:sz w:val="24"/>
          <w:u w:val="single"/>
        </w:rPr>
        <w:t xml:space="preserve">  含 </w:t>
      </w:r>
      <w:r>
        <w:rPr>
          <w:rFonts w:hint="eastAsia" w:ascii="方正仿宋_GBK" w:hAnsi="方正仿宋_GBK" w:eastAsia="方正仿宋_GBK" w:cs="方正仿宋_GBK"/>
          <w:color w:val="auto"/>
          <w:sz w:val="24"/>
        </w:rPr>
        <w:t>(含/不含)运费，采用固定单价，单价不予调整。</w:t>
      </w:r>
    </w:p>
    <w:p w14:paraId="03659564">
      <w:pPr>
        <w:spacing w:line="64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2、</w:t>
      </w:r>
      <w:r>
        <w:rPr>
          <w:rFonts w:hint="eastAsia" w:ascii="方正仿宋_GBK" w:hAnsi="方正仿宋_GBK" w:eastAsia="方正仿宋_GBK" w:cs="方正仿宋_GBK"/>
          <w:color w:val="auto"/>
          <w:sz w:val="24"/>
        </w:rPr>
        <w:t>货物</w:t>
      </w:r>
      <w:r>
        <w:rPr>
          <w:rFonts w:hint="eastAsia" w:ascii="方正仿宋_GBK" w:hAnsi="方正仿宋_GBK" w:eastAsia="方正仿宋_GBK" w:cs="方正仿宋_GBK"/>
          <w:color w:val="auto"/>
          <w:sz w:val="24"/>
          <w:lang w:val="en-US" w:eastAsia="zh-CN"/>
        </w:rPr>
        <w:t>总</w:t>
      </w:r>
      <w:r>
        <w:rPr>
          <w:rFonts w:hint="eastAsia" w:ascii="方正仿宋_GBK" w:hAnsi="方正仿宋_GBK" w:eastAsia="方正仿宋_GBK" w:cs="方正仿宋_GBK"/>
          <w:color w:val="auto"/>
          <w:sz w:val="24"/>
        </w:rPr>
        <w:t>价：</w:t>
      </w:r>
      <w:r>
        <w:rPr>
          <w:rFonts w:hint="eastAsia" w:ascii="方正仿宋_GBK" w:hAnsi="方正仿宋_GBK" w:eastAsia="方正仿宋_GBK" w:cs="方正仿宋_GBK"/>
          <w:color w:val="auto"/>
          <w:sz w:val="24"/>
          <w:lang w:val="en-US" w:eastAsia="zh-CN"/>
        </w:rPr>
        <w:t>总价</w:t>
      </w:r>
      <w:r>
        <w:rPr>
          <w:rFonts w:hint="eastAsia" w:ascii="方正仿宋_GBK" w:hAnsi="方正仿宋_GBK" w:eastAsia="方正仿宋_GBK" w:cs="方正仿宋_GBK"/>
          <w:color w:val="auto"/>
          <w:sz w:val="24"/>
          <w:lang w:eastAsia="zh-CN"/>
        </w:rPr>
        <w:t>包含</w:t>
      </w:r>
      <w:r>
        <w:rPr>
          <w:rFonts w:hint="eastAsia" w:ascii="方正仿宋_GBK" w:hAnsi="方正仿宋_GBK" w:eastAsia="方正仿宋_GBK" w:cs="方正仿宋_GBK"/>
          <w:color w:val="auto"/>
          <w:sz w:val="24"/>
        </w:rPr>
        <w:t>货物、设计费用、辅助材料、安装、调试、人工、机械、运输、仓储、保险、运费、各种税费、保险、劳保及质保期间等一切费用。</w:t>
      </w:r>
    </w:p>
    <w:p w14:paraId="4791BCE2">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rPr>
        <w:t>3、</w:t>
      </w:r>
      <w:r>
        <w:rPr>
          <w:rFonts w:hint="eastAsia" w:ascii="方正仿宋_GBK" w:hAnsi="方正仿宋_GBK" w:eastAsia="方正仿宋_GBK" w:cs="方正仿宋_GBK"/>
          <w:color w:val="auto"/>
          <w:sz w:val="24"/>
          <w:highlight w:val="none"/>
        </w:rPr>
        <w:t>履约保证金：乙方须在合同签订前向甲方缴纳履约保证金</w:t>
      </w:r>
      <w:r>
        <w:rPr>
          <w:rFonts w:hint="eastAsia" w:ascii="方正仿宋_GBK" w:hAnsi="方正仿宋_GBK" w:eastAsia="方正仿宋_GBK" w:cs="方正仿宋_GBK"/>
          <w:color w:val="auto"/>
          <w:sz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50000</w:t>
      </w:r>
      <w:r>
        <w:rPr>
          <w:rFonts w:hint="default" w:ascii="Times New Roman" w:hAnsi="Times New Roman" w:eastAsia="宋体" w:cs="Times New Roman"/>
          <w:color w:val="auto"/>
          <w:sz w:val="24"/>
          <w:szCs w:val="24"/>
          <w:highlight w:val="none"/>
          <w:u w:val="single"/>
        </w:rPr>
        <w:t xml:space="preserve"> </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443E8B56">
      <w:pPr>
        <w:spacing w:line="64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缴纳履约保证金账户：</w:t>
      </w:r>
    </w:p>
    <w:p w14:paraId="3BE7632B">
      <w:pPr>
        <w:spacing w:line="64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单位名称：扬州市上善建设工程有限公司</w:t>
      </w:r>
    </w:p>
    <w:p w14:paraId="5A1A5D92">
      <w:pPr>
        <w:spacing w:line="64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地址：扬州市立新路14号</w:t>
      </w:r>
    </w:p>
    <w:p w14:paraId="5138F0E9">
      <w:pPr>
        <w:spacing w:line="64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统一社会信用代码：91321000140727797T</w:t>
      </w:r>
    </w:p>
    <w:p w14:paraId="7FE5B2AE">
      <w:pPr>
        <w:spacing w:line="64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银行账号：1108020509000000617</w:t>
      </w:r>
    </w:p>
    <w:p w14:paraId="53ABD744">
      <w:pPr>
        <w:spacing w:line="64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开户行：中国工商银行扬州东关分理处</w:t>
      </w:r>
    </w:p>
    <w:p w14:paraId="000D4A3A">
      <w:pPr>
        <w:spacing w:line="64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电话号码：0514-89335009</w:t>
      </w:r>
    </w:p>
    <w:p w14:paraId="7AB74B06">
      <w:pPr>
        <w:spacing w:line="640" w:lineRule="exact"/>
        <w:ind w:firstLine="480" w:firstLineChars="200"/>
        <w:rPr>
          <w:rFonts w:ascii="方正仿宋_GBK" w:hAnsi="方正仿宋_GBK" w:eastAsia="方正仿宋_GBK" w:cs="方正仿宋_GBK"/>
          <w:color w:val="auto"/>
          <w:sz w:val="24"/>
        </w:rPr>
      </w:pPr>
      <w:r>
        <w:rPr>
          <w:rFonts w:ascii="方正仿宋_GBK" w:hAnsi="方正仿宋_GBK" w:eastAsia="方正仿宋_GBK" w:cs="方正仿宋_GBK"/>
          <w:color w:val="auto"/>
          <w:sz w:val="24"/>
        </w:rPr>
        <w:t>4</w:t>
      </w:r>
      <w:r>
        <w:rPr>
          <w:rFonts w:hint="eastAsia" w:ascii="方正仿宋_GBK" w:hAnsi="方正仿宋_GBK" w:eastAsia="方正仿宋_GBK" w:cs="方正仿宋_GBK"/>
          <w:color w:val="auto"/>
          <w:sz w:val="24"/>
        </w:rPr>
        <w:t>、货物交付及付款方式：</w:t>
      </w:r>
    </w:p>
    <w:p w14:paraId="764F1F3B">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（1）</w:t>
      </w:r>
      <w:r>
        <w:rPr>
          <w:rFonts w:hint="eastAsia" w:ascii="方正仿宋_GBK" w:hAnsi="方正仿宋_GBK" w:eastAsia="方正仿宋_GBK" w:cs="方正仿宋_GBK"/>
          <w:bCs/>
          <w:color w:val="auto"/>
          <w:sz w:val="24"/>
        </w:rPr>
        <w:t>甲方通过查验送货单厂家、规格、数量、复核数量、有无磅差、质量证明书并经甲方试验检测部门检测合格符合本合同要求后，开具收到实物数量交接单并确认签字，乙方凭此确认单进行结算。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计量方法双方约定为以</w:t>
      </w:r>
      <w:r>
        <w:rPr>
          <w:rFonts w:hint="eastAsia" w:ascii="方正仿宋_GBK" w:hAnsi="方正仿宋_GBK" w:eastAsia="方正仿宋_GBK" w:cs="方正仿宋_GBK"/>
          <w:bCs/>
          <w:color w:val="auto"/>
          <w:sz w:val="24"/>
          <w:u w:val="single"/>
        </w:rPr>
        <w:t xml:space="preserve"> 理论计算  </w:t>
      </w:r>
      <w:r>
        <w:rPr>
          <w:rFonts w:ascii="方正仿宋_GBK" w:hAnsi="方正仿宋_GBK" w:eastAsia="方正仿宋_GBK" w:cs="方正仿宋_GBK"/>
          <w:bCs/>
          <w:color w:val="auto"/>
          <w:sz w:val="24"/>
        </w:rPr>
        <w:t>计算（参考：履行地过磅、量方、理论计算）。</w:t>
      </w:r>
    </w:p>
    <w:p w14:paraId="17AA1115">
      <w:pPr>
        <w:numPr>
          <w:ilvl w:val="0"/>
          <w:numId w:val="6"/>
        </w:numPr>
        <w:spacing w:line="640" w:lineRule="exact"/>
        <w:ind w:firstLine="480" w:firstLineChars="200"/>
        <w:rPr>
          <w:rFonts w:hint="eastAsia" w:ascii="方正仿宋_GBK" w:hAnsi="方正仿宋_GBK" w:eastAsia="方正仿宋_GBK" w:cs="方正仿宋_GBK"/>
          <w:color w:val="auto"/>
          <w:sz w:val="24"/>
          <w:u w:val="single"/>
          <w:lang w:val="en-US" w:eastAsia="zh-CN"/>
        </w:rPr>
      </w:pPr>
      <w:r>
        <w:rPr>
          <w:rFonts w:hint="eastAsia" w:ascii="方正仿宋_GBK" w:hAnsi="方正仿宋_GBK" w:eastAsia="方正仿宋_GBK" w:cs="方正仿宋_GBK"/>
          <w:color w:val="auto"/>
          <w:sz w:val="24"/>
        </w:rPr>
        <w:t>付款方式：</w:t>
      </w:r>
      <w:r>
        <w:rPr>
          <w:rFonts w:hint="eastAsia" w:ascii="方正仿宋_GBK" w:hAnsi="方正仿宋_GBK" w:eastAsia="方正仿宋_GBK" w:cs="方正仿宋_GBK"/>
          <w:color w:val="auto"/>
          <w:sz w:val="24"/>
          <w:u w:val="single"/>
          <w:lang w:eastAsia="zh-CN"/>
        </w:rPr>
        <w:t>货到现场经验收后付至</w:t>
      </w:r>
      <w:r>
        <w:rPr>
          <w:rFonts w:hint="eastAsia" w:ascii="方正仿宋_GBK" w:hAnsi="方正仿宋_GBK" w:eastAsia="方正仿宋_GBK" w:cs="方正仿宋_GBK"/>
          <w:color w:val="auto"/>
          <w:sz w:val="24"/>
          <w:u w:val="single"/>
          <w:lang w:val="en-US" w:eastAsia="zh-CN"/>
        </w:rPr>
        <w:t>20%（不超过合同价的20%），</w:t>
      </w:r>
      <w:r>
        <w:rPr>
          <w:rFonts w:hint="eastAsia" w:ascii="方正仿宋_GBK" w:hAnsi="方正仿宋_GBK" w:eastAsia="方正仿宋_GBK" w:cs="方正仿宋_GBK"/>
          <w:color w:val="auto"/>
          <w:sz w:val="24"/>
          <w:u w:val="single"/>
          <w:lang w:eastAsia="zh-CN"/>
        </w:rPr>
        <w:t>安装调试结束且经跟踪审计审核合格后付至实际供货量的</w:t>
      </w:r>
      <w:r>
        <w:rPr>
          <w:rFonts w:hint="eastAsia" w:ascii="方正仿宋_GBK" w:hAnsi="方正仿宋_GBK" w:eastAsia="方正仿宋_GBK" w:cs="方正仿宋_GBK"/>
          <w:color w:val="auto"/>
          <w:sz w:val="24"/>
          <w:u w:val="single"/>
          <w:lang w:val="en-US" w:eastAsia="zh-CN"/>
        </w:rPr>
        <w:t>50%（不超过合同价的50%），工程竣工验收合格后付至实际供货量的80%（不超过合同价的80%），工程审计结束后付至实际供货量的97%，二年质保期满后，付清尾款3%（无息）。</w:t>
      </w:r>
    </w:p>
    <w:p w14:paraId="04003C0C">
      <w:pPr>
        <w:numPr>
          <w:ilvl w:val="0"/>
          <w:numId w:val="6"/>
        </w:numPr>
        <w:spacing w:line="64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质保期期限</w:t>
      </w:r>
      <w:r>
        <w:rPr>
          <w:rFonts w:hint="eastAsia" w:ascii="方正仿宋_GBK" w:hAnsi="方正仿宋_GBK" w:eastAsia="方正仿宋_GBK" w:cs="方正仿宋_GBK"/>
          <w:color w:val="auto"/>
          <w:sz w:val="24"/>
          <w:lang w:val="en-US" w:eastAsia="zh-CN"/>
        </w:rPr>
        <w:t>：</w:t>
      </w:r>
      <w:r>
        <w:rPr>
          <w:rFonts w:hint="eastAsia" w:ascii="方正仿宋_GBK" w:hAnsi="方正仿宋_GBK" w:eastAsia="方正仿宋_GBK" w:cs="方正仿宋_GBK"/>
          <w:color w:val="auto"/>
          <w:sz w:val="24"/>
          <w:u w:val="single"/>
          <w:lang w:val="en-US" w:eastAsia="zh-CN"/>
        </w:rPr>
        <w:t>二</w:t>
      </w:r>
      <w:r>
        <w:rPr>
          <w:rFonts w:hint="eastAsia" w:ascii="方正仿宋_GBK" w:hAnsi="方正仿宋_GBK" w:eastAsia="方正仿宋_GBK" w:cs="方正仿宋_GBK"/>
          <w:color w:val="auto"/>
          <w:sz w:val="24"/>
          <w:u w:val="none"/>
          <w:lang w:val="en-US" w:eastAsia="zh-CN"/>
        </w:rPr>
        <w:t>年。</w:t>
      </w:r>
    </w:p>
    <w:p w14:paraId="61184A01">
      <w:pPr>
        <w:numPr>
          <w:ilvl w:val="0"/>
          <w:numId w:val="0"/>
        </w:numPr>
        <w:spacing w:line="64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lang w:val="en-US" w:eastAsia="zh-CN"/>
        </w:rPr>
        <w:t>4</w:t>
      </w: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snapToGrid w:val="0"/>
          <w:color w:val="auto"/>
          <w:kern w:val="21"/>
          <w:position w:val="2"/>
          <w:sz w:val="24"/>
          <w:szCs w:val="24"/>
          <w:highlight w:val="none"/>
          <w:lang w:val="en-US" w:eastAsia="zh-CN" w:bidi="ar-SA"/>
        </w:rPr>
        <w:t>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D43C8C2">
      <w:pPr>
        <w:numPr>
          <w:ilvl w:val="0"/>
          <w:numId w:val="0"/>
        </w:numPr>
        <w:spacing w:line="640" w:lineRule="exact"/>
        <w:ind w:leftChars="0" w:firstLine="480"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lang w:val="en-US" w:eastAsia="zh-CN"/>
        </w:rPr>
        <w:t>5</w:t>
      </w: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rPr>
        <w:t xml:space="preserve">核对完成后乙方开具相应金额的增值税 </w:t>
      </w:r>
      <w:r>
        <w:rPr>
          <w:rFonts w:hint="eastAsia" w:ascii="方正仿宋_GBK" w:hAnsi="方正仿宋_GBK" w:eastAsia="方正仿宋_GBK" w:cs="方正仿宋_GBK"/>
          <w:bCs/>
          <w:color w:val="auto"/>
          <w:sz w:val="24"/>
          <w:u w:val="single"/>
        </w:rPr>
        <w:t>专用</w:t>
      </w:r>
      <w:r>
        <w:rPr>
          <w:rFonts w:hint="eastAsia" w:ascii="方正仿宋_GBK" w:hAnsi="方正仿宋_GBK" w:eastAsia="方正仿宋_GBK" w:cs="方正仿宋_GBK"/>
          <w:bCs/>
          <w:color w:val="auto"/>
          <w:sz w:val="24"/>
        </w:rPr>
        <w:t>发票，税率</w:t>
      </w:r>
      <w:r>
        <w:rPr>
          <w:rFonts w:hint="eastAsia" w:ascii="方正仿宋_GBK" w:hAnsi="方正仿宋_GBK" w:eastAsia="方正仿宋_GBK" w:cs="方正仿宋_GBK"/>
          <w:color w:val="auto"/>
          <w:spacing w:val="4"/>
          <w:sz w:val="24"/>
        </w:rPr>
        <w:t>为</w:t>
      </w:r>
      <w:r>
        <w:rPr>
          <w:rFonts w:hint="eastAsia" w:ascii="方正仿宋_GBK" w:hAnsi="方正仿宋_GBK" w:eastAsia="方正仿宋_GBK" w:cs="方正仿宋_GBK"/>
          <w:color w:val="auto"/>
          <w:spacing w:val="4"/>
          <w:sz w:val="24"/>
          <w:u w:val="single"/>
        </w:rPr>
        <w:t>13</w:t>
      </w:r>
      <w:r>
        <w:rPr>
          <w:rFonts w:hint="eastAsia" w:ascii="方正仿宋_GBK" w:hAnsi="方正仿宋_GBK" w:eastAsia="方正仿宋_GBK" w:cs="方正仿宋_GBK"/>
          <w:color w:val="auto"/>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姓名：</w:t>
      </w:r>
    </w:p>
    <w:p w14:paraId="111B69C9">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接收地址：</w:t>
      </w:r>
    </w:p>
    <w:p w14:paraId="337DBA56">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联系方式：</w:t>
      </w:r>
    </w:p>
    <w:p w14:paraId="0301FEFF">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第四条  </w:t>
      </w:r>
      <w:r>
        <w:rPr>
          <w:rFonts w:hint="eastAsia" w:ascii="方正仿宋_GBK" w:hAnsi="方正仿宋_GBK" w:eastAsia="方正仿宋_GBK" w:cs="方正仿宋_GBK"/>
          <w:bCs/>
          <w:color w:val="auto"/>
          <w:sz w:val="24"/>
        </w:rPr>
        <w:t>质量、技术标准</w:t>
      </w:r>
    </w:p>
    <w:p w14:paraId="3119DB46">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1、乙方供应货物质量应符合：符合国家现行标准或行业标准且满足施工设计要求。</w:t>
      </w:r>
    </w:p>
    <w:p w14:paraId="32CA72FF">
      <w:pPr>
        <w:autoSpaceDE w:val="0"/>
        <w:autoSpaceDN w:val="0"/>
        <w:adjustRightInd w:val="0"/>
        <w:snapToGrid w:val="0"/>
        <w:spacing w:line="480" w:lineRule="exact"/>
        <w:ind w:firstLine="561"/>
        <w:rPr>
          <w:rFonts w:hint="eastAsia" w:ascii="方正仿宋_GBK" w:hAnsi="方正仿宋_GBK" w:eastAsia="方正仿宋_GBK" w:cs="方正仿宋_GBK"/>
          <w:color w:val="auto"/>
          <w:spacing w:val="4"/>
          <w:sz w:val="24"/>
          <w:u w:val="single"/>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、乙方供应货物技术要求：</w:t>
      </w:r>
      <w:r>
        <w:rPr>
          <w:rFonts w:hint="eastAsia" w:ascii="方正仿宋_GBK" w:hAnsi="方正仿宋_GBK" w:eastAsia="方正仿宋_GBK" w:cs="方正仿宋_GBK"/>
          <w:color w:val="auto"/>
          <w:spacing w:val="4"/>
          <w:sz w:val="24"/>
          <w:u w:val="single"/>
        </w:rPr>
        <w:t>符合验收标准</w:t>
      </w:r>
      <w:r>
        <w:rPr>
          <w:rFonts w:hint="eastAsia" w:ascii="方正仿宋_GBK" w:hAnsi="方正仿宋_GBK" w:eastAsia="方正仿宋_GBK" w:cs="方正仿宋_GBK"/>
          <w:color w:val="auto"/>
          <w:spacing w:val="4"/>
          <w:sz w:val="24"/>
          <w:u w:val="single"/>
          <w:lang w:eastAsia="zh-CN"/>
        </w:rPr>
        <w:t>，</w:t>
      </w:r>
      <w:r>
        <w:rPr>
          <w:rFonts w:hint="eastAsia" w:ascii="方正仿宋_GBK" w:hAnsi="方正仿宋_GBK" w:eastAsia="方正仿宋_GBK" w:cs="方正仿宋_GBK"/>
          <w:color w:val="auto"/>
          <w:spacing w:val="4"/>
          <w:sz w:val="24"/>
          <w:u w:val="single"/>
        </w:rPr>
        <w:t>由</w:t>
      </w:r>
      <w:r>
        <w:rPr>
          <w:rFonts w:hint="eastAsia" w:ascii="方正仿宋_GBK" w:hAnsi="方正仿宋_GBK" w:eastAsia="方正仿宋_GBK" w:cs="方正仿宋_GBK"/>
          <w:color w:val="auto"/>
          <w:spacing w:val="4"/>
          <w:sz w:val="24"/>
          <w:u w:val="single"/>
          <w:lang w:eastAsia="zh-CN"/>
        </w:rPr>
        <w:t>甲</w:t>
      </w:r>
      <w:r>
        <w:rPr>
          <w:rFonts w:hint="eastAsia" w:ascii="方正仿宋_GBK" w:hAnsi="方正仿宋_GBK" w:eastAsia="方正仿宋_GBK" w:cs="方正仿宋_GBK"/>
          <w:color w:val="auto"/>
          <w:spacing w:val="4"/>
          <w:sz w:val="24"/>
          <w:u w:val="single"/>
        </w:rPr>
        <w:t>方验收员按照国家标准抽样验收。所涉及的产品标准规范、工程标准规范、验收标准规范等完全满足中华人民共和国相关条例及规范，如出现两个标准不相符合时，按最高标准执行，且所有标准采用合同生效之日起的最新标准。若达不到标准要求，所发生的一切后果及费用由</w:t>
      </w:r>
      <w:r>
        <w:rPr>
          <w:rFonts w:hint="eastAsia" w:ascii="方正仿宋_GBK" w:hAnsi="方正仿宋_GBK" w:eastAsia="方正仿宋_GBK" w:cs="方正仿宋_GBK"/>
          <w:color w:val="auto"/>
          <w:spacing w:val="4"/>
          <w:sz w:val="24"/>
          <w:u w:val="single"/>
          <w:lang w:eastAsia="zh-CN"/>
        </w:rPr>
        <w:t>乙方</w:t>
      </w:r>
      <w:r>
        <w:rPr>
          <w:rFonts w:hint="eastAsia" w:ascii="方正仿宋_GBK" w:hAnsi="方正仿宋_GBK" w:eastAsia="方正仿宋_GBK" w:cs="方正仿宋_GBK"/>
          <w:color w:val="auto"/>
          <w:spacing w:val="4"/>
          <w:sz w:val="24"/>
          <w:u w:val="single"/>
        </w:rPr>
        <w:t>方承担。</w:t>
      </w:r>
    </w:p>
    <w:p w14:paraId="4442158A">
      <w:pPr>
        <w:spacing w:line="64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lang w:val="en-US" w:eastAsia="zh-CN"/>
        </w:rPr>
        <w:t>2.1</w:t>
      </w:r>
      <w:r>
        <w:rPr>
          <w:rFonts w:hint="eastAsia" w:ascii="方正仿宋_GBK" w:hAnsi="方正仿宋_GBK" w:eastAsia="方正仿宋_GBK" w:cs="方正仿宋_GBK"/>
          <w:bCs/>
          <w:color w:val="auto"/>
          <w:sz w:val="24"/>
        </w:rPr>
        <w:t>采用的规范、规程和工程验收标准</w:t>
      </w:r>
    </w:p>
    <w:p w14:paraId="5DA51E20">
      <w:pPr>
        <w:spacing w:line="64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（1）《泵站设计规范》（GB/T50265-2010）；</w:t>
      </w:r>
    </w:p>
    <w:p w14:paraId="79A261DF">
      <w:pPr>
        <w:spacing w:line="64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（2）《室外排水设计标准》（GB50014-2021）；</w:t>
      </w:r>
    </w:p>
    <w:p w14:paraId="727CC0BB">
      <w:pPr>
        <w:spacing w:line="64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（3）《给水排水管道工程施工及验收规范》（GB50268-2008）；</w:t>
      </w:r>
    </w:p>
    <w:p w14:paraId="43915CF7">
      <w:pPr>
        <w:spacing w:line="64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（4）《给水排水构筑物施工及验收规范》（GB50141-2008）；</w:t>
      </w:r>
    </w:p>
    <w:p w14:paraId="1413C91F">
      <w:pPr>
        <w:spacing w:line="64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（5）《一体化预制泵站应用技术规程》（CECS 407:2015）；</w:t>
      </w:r>
    </w:p>
    <w:p w14:paraId="38254C05">
      <w:pPr>
        <w:spacing w:line="64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（6）《给水排水工程构筑物结构设计规范》（GB50069-2012）；</w:t>
      </w:r>
    </w:p>
    <w:p w14:paraId="00BFD0A7">
      <w:pPr>
        <w:spacing w:line="64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（7）其他相关技术规范标准。</w:t>
      </w:r>
    </w:p>
    <w:p w14:paraId="3F2AFABB">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3</w:t>
      </w:r>
      <w:r>
        <w:rPr>
          <w:rFonts w:hint="eastAsia" w:ascii="方正仿宋_GBK" w:hAnsi="方正仿宋_GBK" w:eastAsia="方正仿宋_GBK" w:cs="方正仿宋_GBK"/>
          <w:bCs/>
          <w:color w:val="auto"/>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EF436">
      <w:pPr>
        <w:spacing w:line="640" w:lineRule="exact"/>
        <w:ind w:firstLine="482"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
          <w:color w:val="auto"/>
          <w:sz w:val="24"/>
        </w:rPr>
        <w:t xml:space="preserve">第五条  </w:t>
      </w:r>
      <w:r>
        <w:rPr>
          <w:rFonts w:hint="eastAsia" w:ascii="方正仿宋_GBK" w:hAnsi="方正仿宋_GBK" w:eastAsia="方正仿宋_GBK" w:cs="方正仿宋_GBK"/>
          <w:bCs/>
          <w:color w:val="auto"/>
          <w:sz w:val="24"/>
        </w:rPr>
        <w:t>甲方权利义务</w:t>
      </w:r>
    </w:p>
    <w:p w14:paraId="7E627C6E">
      <w:pPr>
        <w:spacing w:line="640" w:lineRule="exact"/>
        <w:ind w:firstLine="480" w:firstLineChars="200"/>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lang w:val="en-US" w:eastAsia="zh-CN"/>
        </w:rPr>
        <w:t>1、</w:t>
      </w:r>
      <w:r>
        <w:rPr>
          <w:rFonts w:ascii="方正仿宋_GBK" w:hAnsi="方正仿宋_GBK" w:eastAsia="方正仿宋_GBK" w:cs="方正仿宋_GBK"/>
          <w:bCs/>
          <w:color w:val="auto"/>
          <w:sz w:val="24"/>
        </w:rPr>
        <w:t>甲方负责现场</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验收，经甲方检验后，证实乙方所供</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不符合约定时，有权要求向</w:t>
      </w:r>
      <w:r>
        <w:rPr>
          <w:rFonts w:hint="eastAsia" w:ascii="方正仿宋_GBK" w:hAnsi="方正仿宋_GBK" w:eastAsia="方正仿宋_GBK" w:cs="方正仿宋_GBK"/>
          <w:bCs/>
          <w:color w:val="auto"/>
          <w:sz w:val="24"/>
          <w:lang w:val="en-US" w:eastAsia="zh-CN"/>
        </w:rPr>
        <w:t xml:space="preserve">                </w:t>
      </w:r>
    </w:p>
    <w:p w14:paraId="4CA9E278">
      <w:pPr>
        <w:spacing w:line="640" w:lineRule="exact"/>
        <w:ind w:left="479" w:leftChars="228" w:firstLine="0" w:firstLineChars="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lang w:val="en-US" w:eastAsia="zh-CN"/>
        </w:rPr>
        <w:t>乙</w:t>
      </w:r>
      <w:r>
        <w:rPr>
          <w:rFonts w:ascii="方正仿宋_GBK" w:hAnsi="方正仿宋_GBK" w:eastAsia="方正仿宋_GBK" w:cs="方正仿宋_GBK"/>
          <w:bCs/>
          <w:color w:val="auto"/>
          <w:sz w:val="24"/>
        </w:rPr>
        <w:t>方退货，造成的一切损失由乙方自行负责，在甲方</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验收合格并接收</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之前货物发生的</w:t>
      </w:r>
      <w:r>
        <w:rPr>
          <w:rFonts w:ascii="方正仿宋_GBK" w:hAnsi="方正仿宋_GBK" w:eastAsia="方正仿宋_GBK" w:cs="方正仿宋_GBK"/>
          <w:color w:val="auto"/>
          <w:sz w:val="24"/>
        </w:rPr>
        <w:t>毁损、灭失的风险由乙方承担</w:t>
      </w:r>
      <w:r>
        <w:rPr>
          <w:rFonts w:ascii="方正仿宋_GBK" w:hAnsi="方正仿宋_GBK" w:eastAsia="方正仿宋_GBK" w:cs="方正仿宋_GBK"/>
          <w:bCs/>
          <w:color w:val="auto"/>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lang w:val="en-US" w:eastAsia="zh-CN"/>
        </w:rPr>
        <w:t>2、</w:t>
      </w:r>
      <w:r>
        <w:rPr>
          <w:rFonts w:ascii="方正仿宋_GBK" w:hAnsi="方正仿宋_GBK" w:eastAsia="方正仿宋_GBK" w:cs="方正仿宋_GBK"/>
          <w:bCs/>
          <w:color w:val="auto"/>
          <w:sz w:val="24"/>
        </w:rPr>
        <w:t>如在合同期间市场价格下浮，甲方有权与乙方签订补充协议，</w:t>
      </w:r>
      <w:r>
        <w:rPr>
          <w:rFonts w:hint="eastAsia" w:ascii="方正仿宋_GBK" w:hAnsi="方正仿宋_GBK" w:eastAsia="方正仿宋_GBK" w:cs="方正仿宋_GBK"/>
          <w:bCs/>
          <w:color w:val="auto"/>
          <w:sz w:val="24"/>
        </w:rPr>
        <w:t>以</w:t>
      </w:r>
      <w:r>
        <w:rPr>
          <w:rFonts w:ascii="方正仿宋_GBK" w:hAnsi="方正仿宋_GBK" w:eastAsia="方正仿宋_GBK" w:cs="方正仿宋_GBK"/>
          <w:bCs/>
          <w:color w:val="auto"/>
          <w:sz w:val="24"/>
        </w:rPr>
        <w:t>下浮金额</w:t>
      </w:r>
      <w:r>
        <w:rPr>
          <w:rFonts w:hint="eastAsia" w:ascii="方正仿宋_GBK" w:hAnsi="方正仿宋_GBK" w:eastAsia="方正仿宋_GBK" w:cs="方正仿宋_GBK"/>
          <w:bCs/>
          <w:color w:val="auto"/>
          <w:sz w:val="24"/>
        </w:rPr>
        <w:t>为结算金额</w:t>
      </w:r>
      <w:r>
        <w:rPr>
          <w:rFonts w:ascii="方正仿宋_GBK" w:hAnsi="方正仿宋_GBK" w:eastAsia="方正仿宋_GBK" w:cs="方正仿宋_GBK"/>
          <w:bCs/>
          <w:color w:val="auto"/>
          <w:sz w:val="24"/>
        </w:rPr>
        <w:t>，如乙方拒绝，甲方有权</w:t>
      </w:r>
      <w:r>
        <w:rPr>
          <w:rFonts w:hint="eastAsia" w:ascii="方正仿宋_GBK" w:hAnsi="方正仿宋_GBK" w:eastAsia="方正仿宋_GBK" w:cs="方正仿宋_GBK"/>
          <w:bCs/>
          <w:color w:val="auto"/>
          <w:sz w:val="24"/>
        </w:rPr>
        <w:t>解除</w:t>
      </w:r>
      <w:r>
        <w:rPr>
          <w:rFonts w:ascii="方正仿宋_GBK" w:hAnsi="方正仿宋_GBK" w:eastAsia="方正仿宋_GBK" w:cs="方正仿宋_GBK"/>
          <w:bCs/>
          <w:color w:val="auto"/>
          <w:sz w:val="24"/>
        </w:rPr>
        <w:t>合同，由此造成的损失由乙方负责。</w:t>
      </w:r>
    </w:p>
    <w:p w14:paraId="093BE765">
      <w:pPr>
        <w:pStyle w:val="29"/>
        <w:numPr>
          <w:ilvl w:val="0"/>
          <w:numId w:val="0"/>
        </w:numPr>
        <w:spacing w:line="640" w:lineRule="exact"/>
        <w:ind w:leftChars="200"/>
        <w:rPr>
          <w:rFonts w:hint="eastAsia" w:ascii="方正仿宋_GBK" w:hAnsi="方正仿宋_GBK" w:eastAsia="方正仿宋_GBK" w:cs="方正仿宋_GBK"/>
          <w:bCs/>
          <w:color w:val="auto"/>
          <w:sz w:val="24"/>
          <w:lang w:eastAsia="zh-CN"/>
        </w:rPr>
      </w:pPr>
      <w:r>
        <w:rPr>
          <w:rFonts w:hint="eastAsia" w:ascii="方正仿宋_GBK" w:hAnsi="方正仿宋_GBK" w:eastAsia="方正仿宋_GBK" w:cs="方正仿宋_GBK"/>
          <w:bCs/>
          <w:color w:val="auto"/>
          <w:sz w:val="24"/>
          <w:lang w:val="en-US" w:eastAsia="zh-CN"/>
        </w:rPr>
        <w:t>3、</w:t>
      </w:r>
      <w:r>
        <w:rPr>
          <w:rFonts w:hint="eastAsia" w:ascii="方正仿宋_GBK" w:hAnsi="方正仿宋_GBK" w:eastAsia="方正仿宋_GBK" w:cs="方正仿宋_GBK"/>
          <w:bCs/>
          <w:color w:val="auto"/>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第六条  </w:t>
      </w:r>
      <w:r>
        <w:rPr>
          <w:rFonts w:hint="eastAsia" w:ascii="方正仿宋_GBK" w:hAnsi="方正仿宋_GBK" w:eastAsia="方正仿宋_GBK" w:cs="方正仿宋_GBK"/>
          <w:bCs/>
          <w:color w:val="auto"/>
          <w:sz w:val="24"/>
        </w:rPr>
        <w:t>乙方权利义务</w:t>
      </w:r>
    </w:p>
    <w:p w14:paraId="5AC4363B">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乙方需提供</w:t>
      </w:r>
      <w:r>
        <w:rPr>
          <w:rFonts w:hint="eastAsia" w:ascii="方正仿宋_GBK" w:hAnsi="方正仿宋_GBK" w:eastAsia="方正仿宋_GBK" w:cs="方正仿宋_GBK"/>
          <w:bCs/>
          <w:color w:val="auto"/>
          <w:sz w:val="24"/>
        </w:rPr>
        <w:t>以下材料</w:t>
      </w:r>
      <w:r>
        <w:rPr>
          <w:rFonts w:ascii="方正仿宋_GBK" w:hAnsi="方正仿宋_GBK" w:eastAsia="方正仿宋_GBK" w:cs="方正仿宋_GBK"/>
          <w:bCs/>
          <w:color w:val="auto"/>
          <w:sz w:val="24"/>
        </w:rPr>
        <w:t>供甲方备案。</w:t>
      </w:r>
    </w:p>
    <w:p w14:paraId="6C4E7709">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乙方须向甲方提供完备的</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质量证明。</w:t>
      </w:r>
      <w:r>
        <w:rPr>
          <w:rFonts w:ascii="方正仿宋_GBK" w:hAnsi="方正仿宋_GBK" w:eastAsia="方正仿宋_GBK" w:cs="方正仿宋_GBK"/>
          <w:color w:val="auto"/>
          <w:sz w:val="24"/>
        </w:rPr>
        <w:t>因</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质量不符合要求，致使不能实现合同目的的，甲方可以拒绝接受该</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或者解除合同，</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毁损、灭失的风险由乙方承担。</w:t>
      </w:r>
    </w:p>
    <w:p w14:paraId="3F22924B">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3、</w:t>
      </w:r>
      <w:r>
        <w:rPr>
          <w:rFonts w:hint="eastAsia" w:ascii="方正仿宋_GBK" w:hAnsi="方正仿宋_GBK" w:eastAsia="方正仿宋_GBK" w:cs="方正仿宋_GBK"/>
          <w:bCs/>
          <w:color w:val="auto"/>
          <w:sz w:val="24"/>
        </w:rPr>
        <w:t>产品的包装标准要符合国家有关部门的标准。必要时甲方声明对包装的要求。产品的包装物，由乙方负责供应，甲方负责回收和处置。包装物费用如合同中没有特殊说明，不得向甲方另外收取。</w:t>
      </w:r>
    </w:p>
    <w:p w14:paraId="6BD5E4C1">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第七条  </w:t>
      </w:r>
      <w:r>
        <w:rPr>
          <w:rFonts w:hint="eastAsia" w:ascii="方正仿宋_GBK" w:hAnsi="方正仿宋_GBK" w:eastAsia="方正仿宋_GBK" w:cs="方正仿宋_GBK"/>
          <w:bCs/>
          <w:color w:val="auto"/>
          <w:sz w:val="24"/>
        </w:rPr>
        <w:t>违约责任</w:t>
      </w:r>
    </w:p>
    <w:p w14:paraId="34F3E1BE">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、发生以下情况的，甲方有权解除合同，甲方有权要求乙方退还已给付的货款并承担合同总价</w:t>
      </w:r>
      <w:r>
        <w:rPr>
          <w:rFonts w:hint="eastAsia" w:ascii="方正仿宋_GBK" w:hAnsi="方正仿宋_GBK" w:eastAsia="方正仿宋_GBK" w:cs="方正仿宋_GBK"/>
          <w:bCs/>
          <w:color w:val="auto"/>
          <w:sz w:val="24"/>
          <w:u w:val="single"/>
        </w:rPr>
        <w:t xml:space="preserve"> 3  </w:t>
      </w:r>
      <w:r>
        <w:rPr>
          <w:rFonts w:hint="eastAsia" w:ascii="方正仿宋_GBK" w:hAnsi="方正仿宋_GBK" w:eastAsia="方正仿宋_GBK" w:cs="方正仿宋_GBK"/>
          <w:bCs/>
          <w:color w:val="auto"/>
          <w:sz w:val="24"/>
        </w:rPr>
        <w:t>%的违约金，乙方向甲方支付的履约保证金不予退还，涉嫌构成犯罪的，交由司法机关处理。若乙方拒不给付导致甲方通过法律途径追索的，甲方所花费的律师费、诉讼费、保全费、保全担保费、交通费等均由乙方承担：</w:t>
      </w:r>
    </w:p>
    <w:p w14:paraId="487F1219">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1.3</w:t>
      </w:r>
      <w:r>
        <w:rPr>
          <w:rFonts w:hint="eastAsia" w:ascii="方正仿宋_GBK" w:hAnsi="方正仿宋_GBK" w:eastAsia="方正仿宋_GBK" w:cs="方正仿宋_GBK"/>
          <w:bCs/>
          <w:color w:val="auto"/>
          <w:sz w:val="24"/>
        </w:rPr>
        <w:t>、当乙方连续或累计超过</w:t>
      </w:r>
      <w:r>
        <w:rPr>
          <w:rFonts w:hint="eastAsia" w:ascii="方正仿宋_GBK" w:hAnsi="方正仿宋_GBK" w:eastAsia="方正仿宋_GBK" w:cs="方正仿宋_GBK"/>
          <w:bCs/>
          <w:color w:val="auto"/>
          <w:sz w:val="24"/>
          <w:u w:val="single"/>
        </w:rPr>
        <w:t xml:space="preserve">3 </w:t>
      </w:r>
      <w:r>
        <w:rPr>
          <w:rFonts w:hint="eastAsia" w:ascii="方正仿宋_GBK" w:hAnsi="方正仿宋_GBK" w:eastAsia="方正仿宋_GBK" w:cs="方正仿宋_GBK"/>
          <w:bCs/>
          <w:color w:val="auto"/>
          <w:sz w:val="24"/>
        </w:rPr>
        <w:t>天的供货数量不能满足甲方指定数量时；</w:t>
      </w:r>
    </w:p>
    <w:p w14:paraId="19E7CBAC">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auto"/>
          <w:sz w:val="24"/>
        </w:rPr>
      </w:pPr>
      <w:r>
        <w:rPr>
          <w:rFonts w:hint="eastAsia" w:ascii="方正仿宋_GBK" w:hAnsi="方正仿宋_GBK" w:eastAsia="方正仿宋_GBK" w:cs="方正仿宋_GBK"/>
          <w:b/>
          <w:color w:val="auto"/>
          <w:sz w:val="24"/>
        </w:rPr>
        <w:t xml:space="preserve">第八条 </w:t>
      </w:r>
      <w:r>
        <w:rPr>
          <w:rFonts w:hint="eastAsia" w:ascii="方正仿宋_GBK" w:hAnsi="方正仿宋_GBK" w:eastAsia="方正仿宋_GBK" w:cs="方正仿宋_GBK"/>
          <w:bCs/>
          <w:color w:val="auto"/>
          <w:sz w:val="24"/>
        </w:rPr>
        <w:t>其他</w:t>
      </w:r>
      <w:r>
        <w:rPr>
          <w:rFonts w:ascii="方正仿宋_GBK" w:hAnsi="方正仿宋_GBK" w:eastAsia="方正仿宋_GBK" w:cs="方正仿宋_GBK"/>
          <w:bCs/>
          <w:color w:val="auto"/>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第九条 </w:t>
      </w:r>
      <w:r>
        <w:rPr>
          <w:rFonts w:hint="eastAsia" w:ascii="方正仿宋_GBK" w:hAnsi="方正仿宋_GBK" w:eastAsia="方正仿宋_GBK" w:cs="方正仿宋_GBK"/>
          <w:bCs/>
          <w:color w:val="auto"/>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w:t>
      </w:r>
      <w:r>
        <w:rPr>
          <w:rFonts w:ascii="方正仿宋_GBK" w:hAnsi="方正仿宋_GBK" w:eastAsia="方正仿宋_GBK" w:cs="方正仿宋_GBK"/>
          <w:bCs/>
          <w:color w:val="auto"/>
          <w:sz w:val="24"/>
        </w:rPr>
        <w:t>、本合同</w:t>
      </w:r>
      <w:r>
        <w:rPr>
          <w:rFonts w:hint="eastAsia" w:ascii="方正仿宋_GBK" w:hAnsi="方正仿宋_GBK" w:eastAsia="方正仿宋_GBK" w:cs="方正仿宋_GBK"/>
          <w:bCs/>
          <w:color w:val="auto"/>
          <w:sz w:val="24"/>
        </w:rPr>
        <w:t>发生纠纷</w:t>
      </w:r>
      <w:r>
        <w:rPr>
          <w:rFonts w:ascii="方正仿宋_GBK" w:hAnsi="方正仿宋_GBK" w:eastAsia="方正仿宋_GBK" w:cs="方正仿宋_GBK"/>
          <w:bCs/>
          <w:color w:val="auto"/>
          <w:sz w:val="24"/>
        </w:rPr>
        <w:t>由甲乙双方共同协商解决，协商不成可起诉至</w:t>
      </w:r>
      <w:r>
        <w:rPr>
          <w:rFonts w:hint="eastAsia" w:ascii="方正仿宋_GBK" w:hAnsi="方正仿宋_GBK" w:eastAsia="方正仿宋_GBK" w:cs="方正仿宋_GBK"/>
          <w:bCs/>
          <w:color w:val="auto"/>
          <w:sz w:val="24"/>
        </w:rPr>
        <w:t>甲方</w:t>
      </w:r>
      <w:r>
        <w:rPr>
          <w:rFonts w:ascii="方正仿宋_GBK" w:hAnsi="方正仿宋_GBK" w:eastAsia="方正仿宋_GBK" w:cs="方正仿宋_GBK"/>
          <w:bCs/>
          <w:color w:val="auto"/>
          <w:sz w:val="24"/>
        </w:rPr>
        <w:t>所在地法院。</w:t>
      </w:r>
    </w:p>
    <w:p w14:paraId="6518A954">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第十条 </w:t>
      </w:r>
      <w:r>
        <w:rPr>
          <w:rFonts w:hint="eastAsia" w:ascii="方正仿宋_GBK" w:hAnsi="方正仿宋_GBK" w:eastAsia="方正仿宋_GBK" w:cs="方正仿宋_GBK"/>
          <w:bCs/>
          <w:color w:val="auto"/>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本合同经甲乙方</w:t>
      </w:r>
      <w:r>
        <w:rPr>
          <w:rFonts w:hint="eastAsia" w:ascii="方正仿宋_GBK" w:hAnsi="方正仿宋_GBK" w:eastAsia="方正仿宋_GBK" w:cs="方正仿宋_GBK"/>
          <w:bCs/>
          <w:color w:val="auto"/>
          <w:sz w:val="24"/>
        </w:rPr>
        <w:t>签</w:t>
      </w:r>
      <w:r>
        <w:rPr>
          <w:rFonts w:ascii="方正仿宋_GBK" w:hAnsi="方正仿宋_GBK" w:eastAsia="方正仿宋_GBK" w:cs="方正仿宋_GBK"/>
          <w:bCs/>
          <w:color w:val="auto"/>
          <w:sz w:val="24"/>
        </w:rPr>
        <w:t>章之日起生效</w:t>
      </w:r>
      <w:r>
        <w:rPr>
          <w:rFonts w:hint="eastAsia" w:ascii="方正仿宋_GBK" w:hAnsi="方正仿宋_GBK" w:eastAsia="方正仿宋_GBK" w:cs="方正仿宋_GBK"/>
          <w:bCs/>
          <w:color w:val="auto"/>
          <w:sz w:val="24"/>
        </w:rPr>
        <w:t>，自双方履行完毕各自义务时终止。</w:t>
      </w:r>
    </w:p>
    <w:p w14:paraId="7C60AF8D">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w:t>
      </w:r>
      <w:r>
        <w:rPr>
          <w:rFonts w:ascii="方正仿宋_GBK" w:hAnsi="方正仿宋_GBK" w:eastAsia="方正仿宋_GBK" w:cs="方正仿宋_GBK"/>
          <w:bCs/>
          <w:color w:val="auto"/>
          <w:sz w:val="24"/>
        </w:rPr>
        <w:t>本合同一式</w:t>
      </w:r>
      <w:r>
        <w:rPr>
          <w:rFonts w:hint="eastAsia" w:ascii="方正仿宋_GBK" w:hAnsi="方正仿宋_GBK" w:eastAsia="方正仿宋_GBK" w:cs="方正仿宋_GBK"/>
          <w:bCs/>
          <w:color w:val="auto"/>
          <w:sz w:val="24"/>
        </w:rPr>
        <w:t>四</w:t>
      </w:r>
      <w:r>
        <w:rPr>
          <w:rFonts w:ascii="方正仿宋_GBK" w:hAnsi="方正仿宋_GBK" w:eastAsia="方正仿宋_GBK" w:cs="方正仿宋_GBK"/>
          <w:bCs/>
          <w:color w:val="auto"/>
          <w:sz w:val="24"/>
        </w:rPr>
        <w:t>份，甲乙双方各执</w:t>
      </w:r>
      <w:r>
        <w:rPr>
          <w:rFonts w:hint="eastAsia" w:ascii="方正仿宋_GBK" w:hAnsi="方正仿宋_GBK" w:eastAsia="方正仿宋_GBK" w:cs="方正仿宋_GBK"/>
          <w:bCs/>
          <w:color w:val="auto"/>
          <w:sz w:val="24"/>
        </w:rPr>
        <w:t>二</w:t>
      </w:r>
      <w:r>
        <w:rPr>
          <w:rFonts w:ascii="方正仿宋_GBK" w:hAnsi="方正仿宋_GBK" w:eastAsia="方正仿宋_GBK" w:cs="方正仿宋_GBK"/>
          <w:bCs/>
          <w:color w:val="auto"/>
          <w:sz w:val="24"/>
        </w:rPr>
        <w:t>份</w:t>
      </w:r>
    </w:p>
    <w:tbl>
      <w:tblPr>
        <w:tblStyle w:val="18"/>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需　　　　方（甲方）</w:t>
            </w:r>
          </w:p>
          <w:p w14:paraId="1CB4F05C">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单位名称（章）： </w:t>
            </w:r>
          </w:p>
          <w:p w14:paraId="2AC36BBC">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单 位 地 址：</w:t>
            </w:r>
          </w:p>
          <w:p w14:paraId="4E0E9C61">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51A6A45E">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4CD5756D">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开 户 银 行：</w:t>
            </w:r>
          </w:p>
          <w:p w14:paraId="6C0C647D">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银 行 帐 号：</w:t>
            </w:r>
          </w:p>
          <w:p w14:paraId="5A91C523">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54B83316">
            <w:pPr>
              <w:spacing w:line="360" w:lineRule="auto"/>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电话：</w:t>
            </w:r>
          </w:p>
          <w:p w14:paraId="7115478E">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供　　　　方（乙方）</w:t>
            </w:r>
          </w:p>
          <w:p w14:paraId="49E5ACD6">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单位名称（章）：</w:t>
            </w:r>
          </w:p>
          <w:p w14:paraId="42EE9400">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 位 地 址： </w:t>
            </w:r>
          </w:p>
          <w:p w14:paraId="5896474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4841076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2BBDC81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开 户 银 行：</w:t>
            </w:r>
          </w:p>
          <w:p w14:paraId="652F7269">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银 行 帐 号：</w:t>
            </w:r>
          </w:p>
          <w:p w14:paraId="4306A563">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74487268">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电话：</w:t>
            </w:r>
          </w:p>
          <w:p w14:paraId="68EF7858">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传真：</w:t>
            </w:r>
          </w:p>
        </w:tc>
      </w:tr>
    </w:tbl>
    <w:p w14:paraId="10985ED5">
      <w:pPr>
        <w:spacing w:line="360" w:lineRule="auto"/>
        <w:ind w:firstLine="6480" w:firstLineChars="2700"/>
        <w:rPr>
          <w:color w:val="auto"/>
        </w:rPr>
      </w:pPr>
      <w:r>
        <w:rPr>
          <w:rFonts w:hint="eastAsia" w:ascii="方正仿宋_GBK" w:hAnsi="方正仿宋_GBK" w:eastAsia="方正仿宋_GBK" w:cs="方正仿宋_GBK"/>
          <w:color w:val="auto"/>
          <w:sz w:val="24"/>
        </w:rPr>
        <w:t>签订日期：</w:t>
      </w:r>
    </w:p>
    <w:p w14:paraId="0FD547B7">
      <w:pPr>
        <w:pStyle w:val="8"/>
        <w:ind w:left="1260"/>
        <w:rPr>
          <w:color w:val="auto"/>
        </w:rPr>
      </w:pPr>
    </w:p>
    <w:p w14:paraId="72CE6BDC">
      <w:pPr>
        <w:rPr>
          <w:color w:val="auto"/>
        </w:rPr>
      </w:pPr>
    </w:p>
    <w:p w14:paraId="4CE90954">
      <w:pPr>
        <w:rPr>
          <w:color w:val="auto"/>
        </w:rPr>
      </w:pPr>
    </w:p>
    <w:p w14:paraId="759F9F4F">
      <w:pPr>
        <w:rPr>
          <w:color w:val="auto"/>
        </w:rPr>
      </w:pPr>
    </w:p>
    <w:p w14:paraId="060644D0">
      <w:pPr>
        <w:rPr>
          <w:color w:val="auto"/>
        </w:rPr>
      </w:pPr>
    </w:p>
    <w:p w14:paraId="4B4904C5">
      <w:pPr>
        <w:rPr>
          <w:color w:val="auto"/>
        </w:rPr>
      </w:pPr>
    </w:p>
    <w:p w14:paraId="7710118F">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安全协议书</w:t>
      </w:r>
    </w:p>
    <w:p w14:paraId="0A747564">
      <w:pPr>
        <w:spacing w:line="360" w:lineRule="auto"/>
        <w:ind w:firstLine="482" w:firstLineChars="200"/>
        <w:jc w:val="center"/>
        <w:rPr>
          <w:rFonts w:hint="eastAsia" w:eastAsia="黑体"/>
          <w:b/>
          <w:bCs/>
          <w:color w:val="auto"/>
          <w:sz w:val="24"/>
          <w:szCs w:val="24"/>
        </w:rPr>
      </w:pPr>
    </w:p>
    <w:p w14:paraId="2CE5E02D">
      <w:pPr>
        <w:autoSpaceDE w:val="0"/>
        <w:autoSpaceDN w:val="0"/>
        <w:spacing w:line="360" w:lineRule="auto"/>
        <w:jc w:val="left"/>
        <w:rPr>
          <w:rFonts w:hint="eastAsia" w:ascii="宋体" w:hAnsi="宋体"/>
          <w:color w:val="auto"/>
          <w:sz w:val="24"/>
          <w:szCs w:val="24"/>
          <w:lang w:val="zh-CN"/>
        </w:rPr>
      </w:pPr>
      <w:r>
        <w:rPr>
          <w:rFonts w:hint="eastAsia" w:ascii="宋体" w:hAnsi="宋体"/>
          <w:color w:val="auto"/>
          <w:sz w:val="24"/>
          <w:szCs w:val="24"/>
          <w:lang w:val="zh-CN"/>
        </w:rPr>
        <w:t>甲方（</w:t>
      </w:r>
      <w:r>
        <w:rPr>
          <w:rFonts w:hint="eastAsia" w:ascii="宋体" w:hAnsi="宋体"/>
          <w:color w:val="auto"/>
          <w:sz w:val="24"/>
          <w:szCs w:val="24"/>
          <w:lang w:val="en-US" w:eastAsia="zh-CN"/>
        </w:rPr>
        <w:t>需方</w:t>
      </w:r>
      <w:r>
        <w:rPr>
          <w:rFonts w:hint="eastAsia" w:ascii="宋体" w:hAnsi="宋体"/>
          <w:color w:val="auto"/>
          <w:sz w:val="24"/>
          <w:szCs w:val="24"/>
          <w:lang w:val="zh-CN"/>
        </w:rPr>
        <w:t>）：</w:t>
      </w:r>
      <w:r>
        <w:rPr>
          <w:rFonts w:hint="eastAsia" w:ascii="宋体" w:hAnsi="宋体"/>
          <w:color w:val="auto"/>
          <w:sz w:val="24"/>
          <w:szCs w:val="24"/>
          <w:lang w:val="zh-CN" w:eastAsia="zh-CN"/>
        </w:rPr>
        <w:t>扬州市上善建设工程有限公司</w:t>
      </w:r>
    </w:p>
    <w:p w14:paraId="16CED0C6">
      <w:pPr>
        <w:spacing w:line="360" w:lineRule="auto"/>
        <w:rPr>
          <w:rFonts w:hint="eastAsia" w:ascii="宋体" w:hAnsi="宋体"/>
          <w:color w:val="auto"/>
          <w:sz w:val="24"/>
          <w:szCs w:val="24"/>
          <w:lang w:val="zh-CN"/>
        </w:rPr>
      </w:pPr>
      <w:r>
        <w:rPr>
          <w:rFonts w:hint="eastAsia" w:ascii="宋体" w:hAnsi="宋体"/>
          <w:color w:val="auto"/>
          <w:sz w:val="24"/>
          <w:szCs w:val="24"/>
          <w:lang w:val="zh-CN"/>
        </w:rPr>
        <w:t>乙方（</w:t>
      </w:r>
      <w:r>
        <w:rPr>
          <w:rFonts w:hint="eastAsia" w:ascii="宋体" w:hAnsi="宋体"/>
          <w:color w:val="auto"/>
          <w:sz w:val="24"/>
          <w:szCs w:val="24"/>
          <w:lang w:val="en-US" w:eastAsia="zh-CN"/>
        </w:rPr>
        <w:t>供方</w:t>
      </w:r>
      <w:r>
        <w:rPr>
          <w:rFonts w:hint="eastAsia" w:ascii="宋体" w:hAnsi="宋体"/>
          <w:color w:val="auto"/>
          <w:sz w:val="24"/>
          <w:szCs w:val="24"/>
          <w:lang w:val="zh-CN"/>
        </w:rPr>
        <w:t>）：</w:t>
      </w:r>
      <w:r>
        <w:rPr>
          <w:rFonts w:hint="eastAsia" w:ascii="宋体" w:hAnsi="宋体"/>
          <w:color w:val="auto"/>
          <w:sz w:val="24"/>
          <w:szCs w:val="24"/>
          <w:lang w:val="en-US" w:eastAsia="zh-CN"/>
        </w:rPr>
        <w:t xml:space="preserve"> </w:t>
      </w:r>
    </w:p>
    <w:p w14:paraId="21DAC3F3">
      <w:pPr>
        <w:autoSpaceDE w:val="0"/>
        <w:autoSpaceDN w:val="0"/>
        <w:spacing w:line="360" w:lineRule="auto"/>
        <w:jc w:val="left"/>
        <w:rPr>
          <w:rFonts w:hint="eastAsia" w:ascii="宋体" w:hAnsi="宋体" w:eastAsia="宋体"/>
          <w:color w:val="auto"/>
          <w:sz w:val="24"/>
          <w:szCs w:val="24"/>
          <w:lang w:val="en-US" w:eastAsia="zh-CN"/>
        </w:rPr>
      </w:pPr>
      <w:r>
        <w:rPr>
          <w:rFonts w:hint="eastAsia" w:ascii="宋体" w:hAnsi="宋体"/>
          <w:color w:val="auto"/>
          <w:sz w:val="24"/>
          <w:szCs w:val="24"/>
          <w:lang w:val="zh-CN"/>
        </w:rPr>
        <w:t>工程项目</w:t>
      </w:r>
      <w:r>
        <w:rPr>
          <w:rFonts w:hint="eastAsia" w:ascii="宋体" w:hAnsi="宋体"/>
          <w:color w:val="auto"/>
          <w:sz w:val="24"/>
          <w:szCs w:val="24"/>
          <w:lang w:val="en-US" w:eastAsia="zh-CN"/>
        </w:rPr>
        <w:t xml:space="preserve">名称： </w:t>
      </w:r>
    </w:p>
    <w:p w14:paraId="1260F36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乙方有义务</w:t>
      </w:r>
      <w:r>
        <w:rPr>
          <w:rFonts w:hint="eastAsia" w:ascii="宋体" w:hAnsi="宋体" w:eastAsia="宋体" w:cs="宋体"/>
          <w:color w:val="auto"/>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在卸货前，</w:t>
      </w:r>
      <w:r>
        <w:rPr>
          <w:rFonts w:hint="eastAsia" w:ascii="宋体" w:hAnsi="宋体" w:eastAsia="宋体" w:cs="宋体"/>
          <w:color w:val="auto"/>
          <w:sz w:val="24"/>
          <w:szCs w:val="24"/>
          <w:lang w:val="en-US" w:eastAsia="zh-CN"/>
        </w:rPr>
        <w:t>乙方须</w:t>
      </w:r>
      <w:r>
        <w:rPr>
          <w:rFonts w:hint="eastAsia" w:ascii="宋体" w:hAnsi="宋体" w:eastAsia="宋体" w:cs="宋体"/>
          <w:color w:val="auto"/>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卸货过程中，</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应</w:t>
      </w:r>
      <w:r>
        <w:rPr>
          <w:rFonts w:hint="eastAsia" w:ascii="宋体" w:hAnsi="宋体" w:eastAsia="宋体" w:cs="宋体"/>
          <w:color w:val="auto"/>
          <w:sz w:val="24"/>
          <w:szCs w:val="24"/>
          <w:lang w:val="en-US" w:eastAsia="zh-CN"/>
        </w:rPr>
        <w:t>当</w:t>
      </w:r>
      <w:r>
        <w:rPr>
          <w:rFonts w:hint="eastAsia" w:ascii="宋体" w:hAnsi="宋体" w:eastAsia="宋体" w:cs="宋体"/>
          <w:color w:val="auto"/>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9.若乙方未履行本协议约定的责任，导致安全事故发生，乙方应承担全部责任，并赔偿甲方因此遭受的损失。</w:t>
      </w:r>
    </w:p>
    <w:p w14:paraId="1384905B">
      <w:pPr>
        <w:pStyle w:val="15"/>
        <w:numPr>
          <w:ilvl w:val="0"/>
          <w:numId w:val="0"/>
        </w:numPr>
        <w:tabs>
          <w:tab w:val="left" w:pos="0"/>
        </w:tabs>
        <w:spacing w:before="0" w:beforeAutospacing="0" w:after="0" w:afterAutospacing="0" w:line="360" w:lineRule="auto"/>
        <w:ind w:leftChars="200"/>
        <w:rPr>
          <w:rFonts w:hint="eastAsia"/>
          <w:color w:val="auto"/>
        </w:rPr>
      </w:pPr>
      <w:r>
        <w:rPr>
          <w:rFonts w:hint="eastAsia"/>
          <w:color w:val="auto"/>
        </w:rPr>
        <w:t>本协议一式</w:t>
      </w:r>
      <w:r>
        <w:rPr>
          <w:rFonts w:hint="eastAsia"/>
          <w:color w:val="auto"/>
          <w:lang w:val="en-US" w:eastAsia="zh-CN"/>
        </w:rPr>
        <w:t>肆</w:t>
      </w:r>
      <w:r>
        <w:rPr>
          <w:rFonts w:hint="eastAsia"/>
          <w:color w:val="auto"/>
        </w:rPr>
        <w:t>份，甲乙双方各执</w:t>
      </w:r>
      <w:r>
        <w:rPr>
          <w:rFonts w:hint="eastAsia"/>
          <w:color w:val="auto"/>
          <w:lang w:val="en-US" w:eastAsia="zh-CN"/>
        </w:rPr>
        <w:t>贰</w:t>
      </w:r>
      <w:r>
        <w:rPr>
          <w:rFonts w:hint="eastAsia"/>
          <w:color w:val="auto"/>
        </w:rPr>
        <w:t>份</w:t>
      </w:r>
      <w:r>
        <w:rPr>
          <w:rFonts w:hint="eastAsia"/>
          <w:color w:val="auto"/>
          <w:lang w:eastAsia="zh-CN"/>
        </w:rPr>
        <w:t>。</w:t>
      </w:r>
      <w:r>
        <w:rPr>
          <w:rFonts w:hint="eastAsia"/>
          <w:color w:val="auto"/>
          <w:lang w:val="en-US" w:eastAsia="zh-CN"/>
        </w:rPr>
        <w:t xml:space="preserve">    </w:t>
      </w:r>
    </w:p>
    <w:p w14:paraId="160EE6DA">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甲方单位：（盖章）                       乙方单位：（盖章）</w:t>
      </w:r>
    </w:p>
    <w:p w14:paraId="62055125">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法定代表人：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法定代表人：</w:t>
      </w:r>
    </w:p>
    <w:p w14:paraId="3711738F">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或其授权委托代理人：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或其授权委托代理人：  </w:t>
      </w:r>
    </w:p>
    <w:p w14:paraId="1654FEDB">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地址：                                   地址：</w:t>
      </w:r>
    </w:p>
    <w:p w14:paraId="6AD32448">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电话：                                   电话：</w:t>
      </w:r>
    </w:p>
    <w:p w14:paraId="5BB40B36">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年   月   日                             年   月   日</w:t>
      </w:r>
    </w:p>
    <w:p w14:paraId="57C89683">
      <w:pPr>
        <w:rPr>
          <w:color w:val="auto"/>
        </w:rPr>
      </w:pPr>
    </w:p>
    <w:p w14:paraId="18227DBF">
      <w:pPr>
        <w:rPr>
          <w:color w:val="auto"/>
        </w:rPr>
      </w:pPr>
    </w:p>
    <w:p w14:paraId="2E4A5579">
      <w:pPr>
        <w:rPr>
          <w:color w:val="auto"/>
        </w:rPr>
      </w:pPr>
    </w:p>
    <w:p w14:paraId="2C1BB0FE">
      <w:pPr>
        <w:rPr>
          <w:color w:val="auto"/>
        </w:rPr>
      </w:pPr>
    </w:p>
    <w:p w14:paraId="1E23C077">
      <w:pPr>
        <w:rPr>
          <w:color w:val="auto"/>
        </w:rPr>
      </w:pPr>
    </w:p>
    <w:p w14:paraId="21B5A0AA">
      <w:pPr>
        <w:rPr>
          <w:color w:val="auto"/>
        </w:rPr>
      </w:pPr>
    </w:p>
    <w:p w14:paraId="4F8014FA">
      <w:pPr>
        <w:rPr>
          <w:color w:val="auto"/>
        </w:rPr>
      </w:pPr>
    </w:p>
    <w:p w14:paraId="5C88DCCE">
      <w:pPr>
        <w:rPr>
          <w:color w:val="auto"/>
        </w:rPr>
      </w:pPr>
    </w:p>
    <w:p w14:paraId="10BE3D84">
      <w:pPr>
        <w:rPr>
          <w:color w:val="auto"/>
        </w:rPr>
      </w:pPr>
    </w:p>
    <w:p w14:paraId="614A0608">
      <w:pPr>
        <w:spacing w:line="360" w:lineRule="auto"/>
        <w:ind w:firstLine="723" w:firstLineChars="200"/>
        <w:jc w:val="center"/>
        <w:rPr>
          <w:rFonts w:hint="eastAsia" w:ascii="方正仿宋_GBK" w:hAnsi="方正仿宋_GBK" w:eastAsia="方正仿宋_GBK" w:cs="方正仿宋_GBK"/>
          <w:b/>
          <w:color w:val="auto"/>
          <w:sz w:val="36"/>
          <w:szCs w:val="36"/>
        </w:rPr>
      </w:pPr>
      <w:r>
        <w:rPr>
          <w:rFonts w:hint="eastAsia" w:ascii="方正仿宋_GBK" w:hAnsi="方正仿宋_GBK" w:eastAsia="方正仿宋_GBK" w:cs="方正仿宋_GBK"/>
          <w:b/>
          <w:color w:val="auto"/>
          <w:sz w:val="36"/>
          <w:szCs w:val="36"/>
        </w:rPr>
        <w:t>廉</w:t>
      </w:r>
      <w:r>
        <w:rPr>
          <w:rFonts w:hint="eastAsia" w:ascii="方正仿宋_GBK" w:hAnsi="方正仿宋_GBK" w:eastAsia="方正仿宋_GBK" w:cs="方正仿宋_GBK"/>
          <w:b/>
          <w:color w:val="auto"/>
          <w:sz w:val="36"/>
          <w:szCs w:val="36"/>
          <w:lang w:val="en-US" w:eastAsia="zh-CN"/>
        </w:rPr>
        <w:t>政</w:t>
      </w:r>
      <w:r>
        <w:rPr>
          <w:rFonts w:hint="eastAsia" w:ascii="方正仿宋_GBK" w:hAnsi="方正仿宋_GBK" w:eastAsia="方正仿宋_GBK" w:cs="方正仿宋_GBK"/>
          <w:b/>
          <w:color w:val="auto"/>
          <w:sz w:val="36"/>
          <w:szCs w:val="36"/>
        </w:rPr>
        <w:t>协议书</w:t>
      </w:r>
    </w:p>
    <w:p w14:paraId="75EBA461">
      <w:pPr>
        <w:spacing w:line="312" w:lineRule="auto"/>
        <w:ind w:firstLine="482" w:firstLineChars="200"/>
        <w:rPr>
          <w:rFonts w:hint="eastAsia" w:ascii="方正仿宋_GBK" w:hAnsi="方正仿宋_GBK" w:eastAsia="方正仿宋_GBK" w:cs="方正仿宋_GBK"/>
          <w:b/>
          <w:color w:val="auto"/>
          <w:sz w:val="24"/>
          <w:szCs w:val="24"/>
          <w:lang w:eastAsia="zh-CN"/>
        </w:rPr>
      </w:pPr>
      <w:r>
        <w:rPr>
          <w:rFonts w:hint="eastAsia" w:ascii="方正仿宋_GBK" w:hAnsi="方正仿宋_GBK" w:eastAsia="方正仿宋_GBK" w:cs="方正仿宋_GBK"/>
          <w:b/>
          <w:color w:val="auto"/>
          <w:sz w:val="24"/>
          <w:szCs w:val="24"/>
        </w:rPr>
        <w:t>甲  方：</w:t>
      </w:r>
      <w:r>
        <w:rPr>
          <w:rFonts w:hint="eastAsia" w:ascii="方正仿宋_GBK" w:hAnsi="方正仿宋_GBK" w:eastAsia="方正仿宋_GBK" w:cs="方正仿宋_GBK"/>
          <w:color w:val="auto"/>
          <w:sz w:val="24"/>
          <w:szCs w:val="24"/>
          <w:lang w:eastAsia="zh-CN"/>
        </w:rPr>
        <w:t>扬州市上善建设工程有限公司</w:t>
      </w:r>
    </w:p>
    <w:p w14:paraId="00814D1F">
      <w:pPr>
        <w:spacing w:line="312" w:lineRule="auto"/>
        <w:ind w:firstLine="482" w:firstLineChars="20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b/>
          <w:color w:val="auto"/>
          <w:sz w:val="24"/>
          <w:szCs w:val="24"/>
        </w:rPr>
        <w:t>乙  方：</w:t>
      </w:r>
      <w:r>
        <w:rPr>
          <w:rFonts w:hint="eastAsia" w:ascii="方正仿宋_GBK" w:hAnsi="方正仿宋_GBK" w:eastAsia="方正仿宋_GBK" w:cs="方正仿宋_GBK"/>
          <w:color w:val="auto"/>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color w:val="auto"/>
          <w:sz w:val="24"/>
          <w:szCs w:val="24"/>
          <w:lang w:eastAsia="zh-CN"/>
        </w:rPr>
      </w:pPr>
      <w:r>
        <w:rPr>
          <w:rFonts w:hint="eastAsia" w:ascii="方正仿宋_GBK" w:hAnsi="方正仿宋_GBK" w:eastAsia="方正仿宋_GBK" w:cs="方正仿宋_GBK"/>
          <w:b/>
          <w:color w:val="auto"/>
          <w:sz w:val="24"/>
          <w:szCs w:val="24"/>
        </w:rPr>
        <w:t>项目名称：</w:t>
      </w:r>
      <w:r>
        <w:rPr>
          <w:rFonts w:hint="eastAsia" w:ascii="方正仿宋_GBK" w:hAnsi="方正仿宋_GBK" w:eastAsia="方正仿宋_GBK" w:cs="方正仿宋_GBK"/>
          <w:color w:val="auto"/>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第五条 其他约定</w:t>
      </w:r>
    </w:p>
    <w:p w14:paraId="637C6139">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1、本协议作为</w:t>
      </w:r>
      <w:r>
        <w:rPr>
          <w:rFonts w:hint="eastAsia" w:ascii="方正仿宋_GBK" w:hAnsi="方正仿宋_GBK" w:eastAsia="方正仿宋_GBK" w:cs="方正仿宋_GBK"/>
          <w:color w:val="auto"/>
          <w:sz w:val="24"/>
          <w:szCs w:val="24"/>
          <w:u w:val="single"/>
          <w:lang w:val="en-US" w:eastAsia="zh-CN"/>
        </w:rPr>
        <w:t>公道、方巷、杨寿污水收集处理系统改造工程（二期）EPC</w:t>
      </w:r>
      <w:r>
        <w:rPr>
          <w:rFonts w:hint="eastAsia" w:ascii="方正仿宋_GBK" w:hAnsi="方正仿宋_GBK" w:eastAsia="方正仿宋_GBK" w:cs="方正仿宋_GBK"/>
          <w:color w:val="auto"/>
          <w:sz w:val="24"/>
          <w:szCs w:val="24"/>
          <w:u w:val="single"/>
        </w:rPr>
        <w:t>工程</w:t>
      </w:r>
      <w:r>
        <w:rPr>
          <w:rFonts w:hint="eastAsia" w:ascii="方正仿宋_GBK" w:hAnsi="方正仿宋_GBK" w:eastAsia="方正仿宋_GBK" w:cs="方正仿宋_GBK"/>
          <w:color w:val="auto"/>
          <w:sz w:val="24"/>
          <w:szCs w:val="24"/>
          <w:u w:val="single"/>
          <w:lang w:eastAsia="zh-CN"/>
        </w:rPr>
        <w:t>一体化泵站材料</w:t>
      </w:r>
      <w:r>
        <w:rPr>
          <w:rFonts w:hint="eastAsia" w:ascii="方正仿宋_GBK" w:hAnsi="方正仿宋_GBK" w:eastAsia="方正仿宋_GBK" w:cs="方正仿宋_GBK"/>
          <w:color w:val="auto"/>
          <w:sz w:val="24"/>
          <w:szCs w:val="24"/>
          <w:u w:val="single"/>
        </w:rPr>
        <w:t>采购</w:t>
      </w:r>
      <w:r>
        <w:rPr>
          <w:rFonts w:hint="eastAsia" w:ascii="方正仿宋_GBK" w:hAnsi="方正仿宋_GBK" w:eastAsia="方正仿宋_GBK" w:cs="方正仿宋_GBK"/>
          <w:color w:val="auto"/>
          <w:sz w:val="24"/>
          <w:szCs w:val="24"/>
        </w:rPr>
        <w:t>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p>
    <w:p w14:paraId="0282A531">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5、本协议书一式肆份，甲执两份，乙方执两份。</w:t>
      </w:r>
    </w:p>
    <w:p w14:paraId="001864CF">
      <w:pPr>
        <w:numPr>
          <w:ilvl w:val="0"/>
          <w:numId w:val="0"/>
        </w:numPr>
        <w:spacing w:line="312" w:lineRule="auto"/>
        <w:ind w:firstLine="420" w:firstLineChars="200"/>
        <w:rPr>
          <w:rFonts w:hint="eastAsia"/>
          <w:color w:val="auto"/>
          <w:sz w:val="21"/>
          <w:szCs w:val="21"/>
        </w:rPr>
      </w:pPr>
    </w:p>
    <w:p w14:paraId="334E211A">
      <w:pPr>
        <w:numPr>
          <w:ilvl w:val="0"/>
          <w:numId w:val="0"/>
        </w:numPr>
        <w:spacing w:line="312" w:lineRule="auto"/>
        <w:ind w:firstLine="420" w:firstLineChars="200"/>
        <w:rPr>
          <w:rFonts w:hint="eastAsia"/>
          <w:color w:val="auto"/>
          <w:sz w:val="21"/>
          <w:szCs w:val="21"/>
        </w:rPr>
      </w:pPr>
    </w:p>
    <w:p w14:paraId="2A9DED5F">
      <w:pPr>
        <w:numPr>
          <w:ilvl w:val="0"/>
          <w:numId w:val="0"/>
        </w:numPr>
        <w:spacing w:line="312" w:lineRule="auto"/>
        <w:ind w:firstLine="420" w:firstLineChars="200"/>
        <w:rPr>
          <w:rFonts w:hint="eastAsia"/>
          <w:color w:val="auto"/>
          <w:sz w:val="21"/>
          <w:szCs w:val="21"/>
        </w:rPr>
      </w:pPr>
    </w:p>
    <w:p w14:paraId="115CC02F">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甲方单位：（盖章）                       乙方单位：（盖章）</w:t>
      </w:r>
    </w:p>
    <w:p w14:paraId="52F33417">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                              法定代表人</w:t>
      </w:r>
    </w:p>
    <w:p w14:paraId="2D6F18BA">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或其授权委托代理人：                    或其授权委托代理人：</w:t>
      </w:r>
    </w:p>
    <w:p w14:paraId="1C31EE41">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地址：                                  地址：</w:t>
      </w:r>
    </w:p>
    <w:p w14:paraId="6522909F">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                                  电话：</w:t>
      </w:r>
    </w:p>
    <w:p w14:paraId="7E8E34AD">
      <w:pPr>
        <w:spacing w:line="360" w:lineRule="auto"/>
        <w:jc w:val="left"/>
        <w:rPr>
          <w:rFonts w:hint="eastAsia" w:ascii="仿宋_GB2312" w:hAnsi="仿宋_GB2312" w:eastAsia="仿宋_GB2312" w:cs="仿宋_GB2312"/>
          <w:color w:val="auto"/>
          <w:sz w:val="28"/>
          <w:szCs w:val="28"/>
        </w:rPr>
      </w:pPr>
      <w:r>
        <w:rPr>
          <w:rFonts w:hint="eastAsia" w:ascii="方正仿宋_GBK" w:hAnsi="方正仿宋_GBK" w:eastAsia="方正仿宋_GBK" w:cs="方正仿宋_GBK"/>
          <w:color w:val="auto"/>
          <w:sz w:val="24"/>
          <w:szCs w:val="24"/>
        </w:rPr>
        <w:t>日期：</w:t>
      </w:r>
      <w:r>
        <w:rPr>
          <w:rFonts w:hint="eastAsia" w:ascii="仿宋_GB2312" w:hAnsi="仿宋_GB2312" w:eastAsia="仿宋_GB2312" w:cs="仿宋_GB2312"/>
          <w:color w:val="auto"/>
          <w:sz w:val="28"/>
          <w:szCs w:val="28"/>
        </w:rPr>
        <w:t xml:space="preserve">                             </w:t>
      </w:r>
      <w:r>
        <w:rPr>
          <w:rFonts w:hint="eastAsia" w:ascii="方正仿宋_GBK" w:hAnsi="方正仿宋_GBK" w:eastAsia="方正仿宋_GBK" w:cs="方正仿宋_GBK"/>
          <w:color w:val="auto"/>
          <w:sz w:val="24"/>
          <w:szCs w:val="24"/>
        </w:rPr>
        <w:t>日期：</w:t>
      </w:r>
    </w:p>
    <w:p w14:paraId="22CCE6A7">
      <w:pPr>
        <w:pStyle w:val="6"/>
        <w:jc w:val="center"/>
        <w:rPr>
          <w:color w:val="auto"/>
        </w:rPr>
      </w:pP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1D94B7F-35A3-441F-B827-14B8CC17D75A}"/>
  </w:font>
  <w:font w:name="黑体">
    <w:panose1 w:val="02010609060101010101"/>
    <w:charset w:val="86"/>
    <w:family w:val="auto"/>
    <w:pitch w:val="default"/>
    <w:sig w:usb0="800002BF" w:usb1="38CF7CFA" w:usb2="00000016" w:usb3="00000000" w:csb0="00040001" w:csb1="00000000"/>
    <w:embedRegular r:id="rId2" w:fontKey="{A3D2EA8A-19FC-42D7-8745-9D03F1D2DE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C0A56EE0-E0B4-4FCD-B9D1-D51B25F9FE74}"/>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embedRegular r:id="rId4" w:fontKey="{22278338-908A-4329-ADF6-EEA58E656553}"/>
  </w:font>
  <w:font w:name="Helvetica">
    <w:altName w:val="Arial"/>
    <w:panose1 w:val="00000000000000000000"/>
    <w:charset w:val="00"/>
    <w:family w:val="auto"/>
    <w:pitch w:val="default"/>
    <w:sig w:usb0="00000000" w:usb1="00000000" w:usb2="00000000" w:usb3="00000000" w:csb0="00040001" w:csb1="00000000"/>
    <w:embedRegular r:id="rId5" w:fontKey="{063BBFE1-0D13-4195-8D3C-C66D742ADC6E}"/>
  </w:font>
  <w:font w:name="方正仿宋_GBK">
    <w:panose1 w:val="03000509000000000000"/>
    <w:charset w:val="86"/>
    <w:family w:val="auto"/>
    <w:pitch w:val="default"/>
    <w:sig w:usb0="00000001" w:usb1="080E0000" w:usb2="00000000" w:usb3="00000000" w:csb0="00040000" w:csb1="00000000"/>
    <w:embedRegular r:id="rId6" w:fontKey="{8DAF7464-BC5D-43B2-A8A4-FD753EF4CE7E}"/>
  </w:font>
  <w:font w:name="方正小标宋_GBK">
    <w:panose1 w:val="02000000000000000000"/>
    <w:charset w:val="86"/>
    <w:family w:val="auto"/>
    <w:pitch w:val="default"/>
    <w:sig w:usb0="00000001" w:usb1="080E0000" w:usb2="00000000" w:usb3="00000000" w:csb0="00040000" w:csb1="00000000"/>
    <w:embedRegular r:id="rId7" w:fontKey="{835B9D2E-021A-4B01-8122-F257A52289D5}"/>
  </w:font>
  <w:font w:name="仿宋">
    <w:panose1 w:val="02010609060101010101"/>
    <w:charset w:val="86"/>
    <w:family w:val="auto"/>
    <w:pitch w:val="default"/>
    <w:sig w:usb0="800002BF" w:usb1="38CF7CFA" w:usb2="00000016" w:usb3="00000000" w:csb0="00040001" w:csb1="00000000"/>
    <w:embedRegular r:id="rId8" w:fontKey="{EED6AEAE-4158-4F54-B281-BC910816303E}"/>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22F2F65">
                          <w:pPr>
                            <w:pStyle w:val="12"/>
                            <w:rPr>
                              <w:rFonts w:hint="eastAsia"/>
                            </w:rPr>
                          </w:pPr>
                        </w:p>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MYpOtDQAQAAmgMAAA4AAAAAAAAAAQAgAAAAHwEAAGRy&#10;cy9lMm9Eb2MueG1sUEsFBgAAAAAGAAYAWQEAAGEFAAAAAA==&#10;">
              <v:fill on="f" focussize="0,0"/>
              <v:stroke on="f"/>
              <v:imagedata o:title=""/>
              <o:lock v:ext="edit" aspectratio="f"/>
              <v:textbox inset="0mm,0mm,0mm,0mm" style="mso-fit-shape-to-text:t;">
                <w:txbxContent>
                  <w:p w14:paraId="022F2F65">
                    <w:pPr>
                      <w:pStyle w:val="12"/>
                      <w:rPr>
                        <w:rFonts w:hint="eastAsia"/>
                      </w:rPr>
                    </w:pPr>
                  </w:p>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10A12"/>
    <w:multiLevelType w:val="singleLevel"/>
    <w:tmpl w:val="B5A10A12"/>
    <w:lvl w:ilvl="0" w:tentative="0">
      <w:start w:val="2"/>
      <w:numFmt w:val="decimal"/>
      <w:suff w:val="nothing"/>
      <w:lvlText w:val="（%1）"/>
      <w:lvlJc w:val="left"/>
    </w:lvl>
  </w:abstractNum>
  <w:abstractNum w:abstractNumId="1">
    <w:nsid w:val="088C5BF6"/>
    <w:multiLevelType w:val="singleLevel"/>
    <w:tmpl w:val="088C5BF6"/>
    <w:lvl w:ilvl="0" w:tentative="0">
      <w:start w:val="1"/>
      <w:numFmt w:val="chineseCounting"/>
      <w:suff w:val="space"/>
      <w:lvlText w:val="第%1条"/>
      <w:lvlJc w:val="left"/>
      <w:rPr>
        <w:rFonts w:hint="eastAsia"/>
      </w:rPr>
    </w:lvl>
  </w:abstractNum>
  <w:abstractNum w:abstractNumId="2">
    <w:nsid w:val="326C8063"/>
    <w:multiLevelType w:val="singleLevel"/>
    <w:tmpl w:val="326C8063"/>
    <w:lvl w:ilvl="0" w:tentative="0">
      <w:start w:val="4"/>
      <w:numFmt w:val="chineseCounting"/>
      <w:suff w:val="nothing"/>
      <w:lvlText w:val="%1、"/>
      <w:lvlJc w:val="left"/>
      <w:rPr>
        <w:rFonts w:hint="eastAsia"/>
      </w:rPr>
    </w:lvl>
  </w:abstractNum>
  <w:abstractNum w:abstractNumId="3">
    <w:nsid w:val="345AB772"/>
    <w:multiLevelType w:val="singleLevel"/>
    <w:tmpl w:val="345AB772"/>
    <w:lvl w:ilvl="0" w:tentative="0">
      <w:start w:val="1"/>
      <w:numFmt w:val="chineseCounting"/>
      <w:suff w:val="nothing"/>
      <w:lvlText w:val="（%1）"/>
      <w:lvlJc w:val="left"/>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0E62"/>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45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875"/>
    <w:rsid w:val="005B0C92"/>
    <w:rsid w:val="005B2CB2"/>
    <w:rsid w:val="005C0DA9"/>
    <w:rsid w:val="005C1904"/>
    <w:rsid w:val="005C3352"/>
    <w:rsid w:val="005C68F5"/>
    <w:rsid w:val="005D50F4"/>
    <w:rsid w:val="005D5427"/>
    <w:rsid w:val="005D6C67"/>
    <w:rsid w:val="005E5CE2"/>
    <w:rsid w:val="005F4D80"/>
    <w:rsid w:val="0060007D"/>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6808"/>
    <w:rsid w:val="00677656"/>
    <w:rsid w:val="0068025F"/>
    <w:rsid w:val="006802D0"/>
    <w:rsid w:val="0068055B"/>
    <w:rsid w:val="00680D13"/>
    <w:rsid w:val="0068678C"/>
    <w:rsid w:val="00695DA5"/>
    <w:rsid w:val="0069656D"/>
    <w:rsid w:val="006A2BA9"/>
    <w:rsid w:val="006A5A1C"/>
    <w:rsid w:val="006A653C"/>
    <w:rsid w:val="006B0FCE"/>
    <w:rsid w:val="006B0FDD"/>
    <w:rsid w:val="006B281B"/>
    <w:rsid w:val="006B2F9C"/>
    <w:rsid w:val="006B3346"/>
    <w:rsid w:val="006B7A2D"/>
    <w:rsid w:val="006C178A"/>
    <w:rsid w:val="006C21C3"/>
    <w:rsid w:val="006C22F0"/>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07C5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35C4"/>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8490E"/>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59A"/>
    <w:rsid w:val="00F13FC0"/>
    <w:rsid w:val="00F16D1A"/>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0141"/>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C6C9C"/>
    <w:rsid w:val="00FD170F"/>
    <w:rsid w:val="00FD38AE"/>
    <w:rsid w:val="00FD3F6D"/>
    <w:rsid w:val="00FD45BD"/>
    <w:rsid w:val="00FD52D5"/>
    <w:rsid w:val="00FE3802"/>
    <w:rsid w:val="00FF2A54"/>
    <w:rsid w:val="01F77332"/>
    <w:rsid w:val="03920CFE"/>
    <w:rsid w:val="05235BBF"/>
    <w:rsid w:val="057A6F83"/>
    <w:rsid w:val="07B132EE"/>
    <w:rsid w:val="09A23D87"/>
    <w:rsid w:val="0A64315D"/>
    <w:rsid w:val="0AB13EC9"/>
    <w:rsid w:val="0B786794"/>
    <w:rsid w:val="0B7C44D7"/>
    <w:rsid w:val="0C006D9B"/>
    <w:rsid w:val="0C391C75"/>
    <w:rsid w:val="0D046532"/>
    <w:rsid w:val="105E328D"/>
    <w:rsid w:val="129E552E"/>
    <w:rsid w:val="12EA5FE1"/>
    <w:rsid w:val="1499563C"/>
    <w:rsid w:val="15604521"/>
    <w:rsid w:val="16D64DEC"/>
    <w:rsid w:val="1748310D"/>
    <w:rsid w:val="18282018"/>
    <w:rsid w:val="18985403"/>
    <w:rsid w:val="19260369"/>
    <w:rsid w:val="1929124C"/>
    <w:rsid w:val="193744A3"/>
    <w:rsid w:val="19946E8F"/>
    <w:rsid w:val="19C550BC"/>
    <w:rsid w:val="1B872D71"/>
    <w:rsid w:val="1CE95DDF"/>
    <w:rsid w:val="1D524DB7"/>
    <w:rsid w:val="1E4B2C37"/>
    <w:rsid w:val="1E6225BB"/>
    <w:rsid w:val="2193321E"/>
    <w:rsid w:val="21F20BF7"/>
    <w:rsid w:val="21F42BC1"/>
    <w:rsid w:val="235D6544"/>
    <w:rsid w:val="25043F2B"/>
    <w:rsid w:val="25365202"/>
    <w:rsid w:val="256C2A6E"/>
    <w:rsid w:val="260C121F"/>
    <w:rsid w:val="26E054C2"/>
    <w:rsid w:val="276A7488"/>
    <w:rsid w:val="285621E5"/>
    <w:rsid w:val="28AB7D51"/>
    <w:rsid w:val="28D243ED"/>
    <w:rsid w:val="293E2974"/>
    <w:rsid w:val="2A1010B9"/>
    <w:rsid w:val="2B4431B2"/>
    <w:rsid w:val="2CA37518"/>
    <w:rsid w:val="2EDE2713"/>
    <w:rsid w:val="2FFE5B53"/>
    <w:rsid w:val="31F0483A"/>
    <w:rsid w:val="32CA33D5"/>
    <w:rsid w:val="330E785B"/>
    <w:rsid w:val="33976056"/>
    <w:rsid w:val="339A10EE"/>
    <w:rsid w:val="34025308"/>
    <w:rsid w:val="356419B4"/>
    <w:rsid w:val="374750E9"/>
    <w:rsid w:val="39C149ED"/>
    <w:rsid w:val="3B257EFE"/>
    <w:rsid w:val="3B9823B7"/>
    <w:rsid w:val="3C691FB0"/>
    <w:rsid w:val="3DA53EA4"/>
    <w:rsid w:val="3EBC5476"/>
    <w:rsid w:val="40AD2D34"/>
    <w:rsid w:val="41423887"/>
    <w:rsid w:val="416D6893"/>
    <w:rsid w:val="430640AA"/>
    <w:rsid w:val="43362BE2"/>
    <w:rsid w:val="43BC6694"/>
    <w:rsid w:val="46F7745D"/>
    <w:rsid w:val="473E02B7"/>
    <w:rsid w:val="4908606F"/>
    <w:rsid w:val="49180694"/>
    <w:rsid w:val="49B818C5"/>
    <w:rsid w:val="4AD23574"/>
    <w:rsid w:val="4AE83AA4"/>
    <w:rsid w:val="4AEF0FE5"/>
    <w:rsid w:val="4B553E21"/>
    <w:rsid w:val="4B7029BB"/>
    <w:rsid w:val="4BE86A43"/>
    <w:rsid w:val="4C3558DD"/>
    <w:rsid w:val="4C9A6422"/>
    <w:rsid w:val="4FE34DE9"/>
    <w:rsid w:val="513F3A5E"/>
    <w:rsid w:val="52D03D8D"/>
    <w:rsid w:val="531967C5"/>
    <w:rsid w:val="56A8222D"/>
    <w:rsid w:val="56F42740"/>
    <w:rsid w:val="57CC0FC7"/>
    <w:rsid w:val="58A65A2C"/>
    <w:rsid w:val="58D6764A"/>
    <w:rsid w:val="59B57910"/>
    <w:rsid w:val="5B2063C0"/>
    <w:rsid w:val="5B433C96"/>
    <w:rsid w:val="5B6B4AD5"/>
    <w:rsid w:val="5C797243"/>
    <w:rsid w:val="5CAF2C65"/>
    <w:rsid w:val="5CDC2116"/>
    <w:rsid w:val="5F430192"/>
    <w:rsid w:val="60120828"/>
    <w:rsid w:val="60194FC5"/>
    <w:rsid w:val="62421E35"/>
    <w:rsid w:val="6247219A"/>
    <w:rsid w:val="62791D4B"/>
    <w:rsid w:val="6291178B"/>
    <w:rsid w:val="633678A2"/>
    <w:rsid w:val="65B7257A"/>
    <w:rsid w:val="65D051C7"/>
    <w:rsid w:val="65EB0E69"/>
    <w:rsid w:val="67061214"/>
    <w:rsid w:val="68537464"/>
    <w:rsid w:val="68541290"/>
    <w:rsid w:val="68EF2D67"/>
    <w:rsid w:val="692927D8"/>
    <w:rsid w:val="69371E08"/>
    <w:rsid w:val="6A6211D2"/>
    <w:rsid w:val="6BB34520"/>
    <w:rsid w:val="6D116F45"/>
    <w:rsid w:val="6D1F1741"/>
    <w:rsid w:val="6F186ADA"/>
    <w:rsid w:val="6F8B2BAB"/>
    <w:rsid w:val="6FD274C8"/>
    <w:rsid w:val="6FE729EA"/>
    <w:rsid w:val="7054292F"/>
    <w:rsid w:val="73535FE6"/>
    <w:rsid w:val="75846F2D"/>
    <w:rsid w:val="778C2829"/>
    <w:rsid w:val="77D46880"/>
    <w:rsid w:val="77D7083D"/>
    <w:rsid w:val="7A546ECE"/>
    <w:rsid w:val="7B646DB9"/>
    <w:rsid w:val="7CCA4BCF"/>
    <w:rsid w:val="7D844F10"/>
    <w:rsid w:val="7DB6110D"/>
    <w:rsid w:val="7DBC2B31"/>
    <w:rsid w:val="7E5111F0"/>
    <w:rsid w:val="7EAB3892"/>
    <w:rsid w:val="7F2356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索引 41"/>
    <w:next w:val="1"/>
    <w:qFormat/>
    <w:uiPriority w:val="0"/>
    <w:pPr>
      <w:widowControl w:val="0"/>
      <w:ind w:left="1260"/>
      <w:jc w:val="both"/>
    </w:pPr>
    <w:rPr>
      <w:rFonts w:hint="default" w:ascii="Calibri" w:hAnsi="Calibri" w:eastAsia="宋体" w:cs="Times New Roman"/>
      <w:sz w:val="21"/>
      <w:szCs w:val="20"/>
      <w:lang w:val="en-US" w:eastAsia="zh-CN" w:bidi="ar-SA"/>
    </w:rPr>
  </w:style>
  <w:style w:type="paragraph" w:styleId="4">
    <w:name w:val="toa heading"/>
    <w:basedOn w:val="1"/>
    <w:next w:val="1"/>
    <w:unhideWhenUsed/>
    <w:qFormat/>
    <w:uiPriority w:val="99"/>
    <w:rPr>
      <w:rFonts w:ascii="Arial" w:hAnsi="Arial"/>
      <w:sz w:val="24"/>
    </w:rPr>
  </w:style>
  <w:style w:type="paragraph" w:styleId="5">
    <w:name w:val="annotation text"/>
    <w:basedOn w:val="1"/>
    <w:autoRedefine/>
    <w:qFormat/>
    <w:uiPriority w:val="0"/>
    <w:pPr>
      <w:jc w:val="left"/>
    </w:pPr>
  </w:style>
  <w:style w:type="paragraph" w:styleId="6">
    <w:name w:val="Body Text"/>
    <w:basedOn w:val="1"/>
    <w:autoRedefine/>
    <w:qFormat/>
    <w:uiPriority w:val="0"/>
    <w:rPr>
      <w:rFonts w:eastAsia="仿宋_GB2312"/>
      <w:sz w:val="30"/>
    </w:rPr>
  </w:style>
  <w:style w:type="paragraph" w:styleId="7">
    <w:name w:val="Body Text Indent"/>
    <w:basedOn w:val="1"/>
    <w:link w:val="23"/>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autoRedefine/>
    <w:qFormat/>
    <w:uiPriority w:val="99"/>
    <w:pPr>
      <w:ind w:left="600" w:leftChars="600"/>
    </w:pPr>
  </w:style>
  <w:style w:type="paragraph" w:styleId="9">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autoRedefine/>
    <w:qFormat/>
    <w:uiPriority w:val="0"/>
    <w:pPr>
      <w:ind w:left="100" w:leftChars="2500"/>
    </w:pPr>
  </w:style>
  <w:style w:type="paragraph" w:styleId="11">
    <w:name w:val="Balloon Text"/>
    <w:basedOn w:val="1"/>
    <w:autoRedefine/>
    <w:semiHidden/>
    <w:qFormat/>
    <w:uiPriority w:val="0"/>
    <w:rPr>
      <w:sz w:val="18"/>
      <w:szCs w:val="18"/>
    </w:rPr>
  </w:style>
  <w:style w:type="paragraph" w:styleId="12">
    <w:name w:val="footer"/>
    <w:basedOn w:val="1"/>
    <w:link w:val="22"/>
    <w:autoRedefine/>
    <w:qFormat/>
    <w:uiPriority w:val="0"/>
    <w:pPr>
      <w:tabs>
        <w:tab w:val="center" w:pos="4153"/>
        <w:tab w:val="right" w:pos="8306"/>
      </w:tabs>
      <w:snapToGrid w:val="0"/>
      <w:jc w:val="left"/>
    </w:pPr>
    <w:rPr>
      <w:sz w:val="18"/>
      <w:szCs w:val="18"/>
    </w:rPr>
  </w:style>
  <w:style w:type="paragraph" w:styleId="13">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autoRedefine/>
    <w:qFormat/>
    <w:uiPriority w:val="0"/>
    <w:pPr>
      <w:spacing w:after="120" w:line="480" w:lineRule="auto"/>
    </w:pPr>
  </w:style>
  <w:style w:type="paragraph" w:styleId="15">
    <w:name w:val="Normal (Web)"/>
    <w:basedOn w:val="1"/>
    <w:autoRedefine/>
    <w:qFormat/>
    <w:uiPriority w:val="99"/>
    <w:pPr>
      <w:spacing w:beforeAutospacing="1" w:afterAutospacing="1"/>
      <w:jc w:val="left"/>
    </w:pPr>
    <w:rPr>
      <w:kern w:val="0"/>
      <w:sz w:val="24"/>
    </w:rPr>
  </w:style>
  <w:style w:type="paragraph" w:styleId="16">
    <w:name w:val="Body Text First Indent 2"/>
    <w:basedOn w:val="7"/>
    <w:next w:val="17"/>
    <w:autoRedefine/>
    <w:qFormat/>
    <w:uiPriority w:val="0"/>
    <w:pPr>
      <w:ind w:firstLine="420" w:firstLineChars="200"/>
    </w:pPr>
    <w:rPr>
      <w:szCs w:val="24"/>
    </w:rPr>
  </w:style>
  <w:style w:type="paragraph" w:customStyle="1" w:styleId="17">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link w:val="13"/>
    <w:autoRedefine/>
    <w:qFormat/>
    <w:uiPriority w:val="0"/>
    <w:rPr>
      <w:kern w:val="2"/>
      <w:sz w:val="18"/>
      <w:szCs w:val="18"/>
    </w:rPr>
  </w:style>
  <w:style w:type="character" w:customStyle="1" w:styleId="22">
    <w:name w:val="页脚 Char"/>
    <w:link w:val="12"/>
    <w:autoRedefine/>
    <w:qFormat/>
    <w:uiPriority w:val="0"/>
    <w:rPr>
      <w:kern w:val="2"/>
      <w:sz w:val="18"/>
      <w:szCs w:val="18"/>
    </w:rPr>
  </w:style>
  <w:style w:type="character" w:customStyle="1" w:styleId="23">
    <w:name w:val="正文文本缩进 Char"/>
    <w:link w:val="7"/>
    <w:autoRedefine/>
    <w:qFormat/>
    <w:uiPriority w:val="0"/>
    <w:rPr>
      <w:rFonts w:ascii="宋体" w:hAnsi="Calibri"/>
      <w:kern w:val="2"/>
      <w:sz w:val="28"/>
      <w:szCs w:val="22"/>
    </w:rPr>
  </w:style>
  <w:style w:type="paragraph" w:customStyle="1" w:styleId="2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autoRedefine/>
    <w:qFormat/>
    <w:uiPriority w:val="0"/>
    <w:rPr>
      <w:rFonts w:ascii="Calibri" w:hAnsi="Calibri" w:eastAsia="宋体" w:cs="Times New Roman"/>
      <w:sz w:val="22"/>
      <w:szCs w:val="22"/>
      <w:lang w:val="en-US" w:eastAsia="zh-CN" w:bidi="ar-SA"/>
    </w:rPr>
  </w:style>
  <w:style w:type="paragraph" w:customStyle="1" w:styleId="26">
    <w:name w:val="Char"/>
    <w:basedOn w:val="1"/>
    <w:autoRedefine/>
    <w:qFormat/>
    <w:uiPriority w:val="0"/>
  </w:style>
  <w:style w:type="paragraph" w:customStyle="1" w:styleId="27">
    <w:name w:val="+正文"/>
    <w:basedOn w:val="1"/>
    <w:autoRedefine/>
    <w:qFormat/>
    <w:uiPriority w:val="0"/>
    <w:pPr>
      <w:spacing w:line="360" w:lineRule="auto"/>
      <w:ind w:firstLine="200" w:firstLineChars="200"/>
    </w:pPr>
    <w:rPr>
      <w:sz w:val="24"/>
      <w:szCs w:val="28"/>
    </w:rPr>
  </w:style>
  <w:style w:type="paragraph" w:customStyle="1" w:styleId="28">
    <w:name w:val="List Paragraph1"/>
    <w:basedOn w:val="1"/>
    <w:autoRedefine/>
    <w:qFormat/>
    <w:uiPriority w:val="0"/>
    <w:pPr>
      <w:widowControl/>
      <w:ind w:firstLine="420" w:firstLineChars="200"/>
      <w:jc w:val="left"/>
    </w:pPr>
    <w:rPr>
      <w:rFonts w:ascii="宋体" w:hAnsi="宋体" w:cs="宋体"/>
      <w:kern w:val="0"/>
      <w:sz w:val="24"/>
    </w:rPr>
  </w:style>
  <w:style w:type="paragraph" w:styleId="29">
    <w:name w:val="List Paragraph"/>
    <w:basedOn w:val="1"/>
    <w:autoRedefine/>
    <w:qFormat/>
    <w:uiPriority w:val="0"/>
    <w:pPr>
      <w:ind w:firstLine="420" w:firstLineChars="200"/>
    </w:pPr>
    <w:rPr>
      <w:rFonts w:ascii="Calibri" w:hAnsi="Calibri"/>
      <w:szCs w:val="22"/>
    </w:rPr>
  </w:style>
  <w:style w:type="paragraph" w:customStyle="1" w:styleId="30">
    <w:name w:val="Table Text"/>
    <w:basedOn w:val="1"/>
    <w:autoRedefine/>
    <w:semiHidden/>
    <w:qFormat/>
    <w:uiPriority w:val="0"/>
    <w:rPr>
      <w:rFonts w:ascii="宋体" w:hAnsi="宋体" w:eastAsia="宋体" w:cs="宋体"/>
      <w:sz w:val="20"/>
      <w:szCs w:val="20"/>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正文文本12"/>
    <w:semiHidden/>
    <w:qFormat/>
    <w:uiPriority w:val="0"/>
    <w:rPr>
      <w:rFonts w:ascii="宋体" w:hAnsi="宋体" w:eastAsia="宋体" w:cs="宋体"/>
      <w:color w:val="000000"/>
      <w:sz w:val="31"/>
      <w:szCs w:val="31"/>
      <w:lang w:val="en-US" w:eastAsia="en-US" w:bidi="ar-SA"/>
    </w:rPr>
  </w:style>
  <w:style w:type="paragraph" w:customStyle="1" w:styleId="33">
    <w:name w:val="null3"/>
    <w:hidden/>
    <w:qFormat/>
    <w:uiPriority w:val="0"/>
    <w:rPr>
      <w:rFonts w:hint="eastAsia" w:asciiTheme="minorHAnsi" w:hAnsiTheme="minorHAnsi" w:eastAsiaTheme="minorEastAsia" w:cstheme="minorBidi"/>
      <w:lang w:val="en-US" w:eastAsia="zh-CN" w:bidi="ar-SA"/>
    </w:rPr>
  </w:style>
  <w:style w:type="paragraph" w:customStyle="1" w:styleId="34">
    <w:name w:val="标题 5（有编号）（绿盟科技）"/>
    <w:basedOn w:val="1"/>
    <w:next w:val="3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6">
    <w:name w:val="标题 1 Char1"/>
    <w:qFormat/>
    <w:uiPriority w:val="0"/>
    <w:rPr>
      <w:rFonts w:hint="default" w:ascii="Calibri" w:hAnsi="Calibri" w:eastAsia="宋体" w:cs="Arial"/>
      <w:b/>
      <w:kern w:val="44"/>
      <w:sz w:val="44"/>
      <w:szCs w:val="20"/>
    </w:rPr>
  </w:style>
  <w:style w:type="character" w:customStyle="1" w:styleId="37">
    <w:name w:val="font11"/>
    <w:basedOn w:val="20"/>
    <w:qFormat/>
    <w:uiPriority w:val="0"/>
    <w:rPr>
      <w:rFonts w:hint="eastAsia" w:ascii="宋体" w:hAnsi="宋体" w:eastAsia="宋体" w:cs="宋体"/>
      <w:color w:val="000000"/>
      <w:sz w:val="21"/>
      <w:szCs w:val="21"/>
      <w:u w:val="none"/>
    </w:rPr>
  </w:style>
  <w:style w:type="character" w:customStyle="1" w:styleId="38">
    <w:name w:val="font21"/>
    <w:basedOn w:val="20"/>
    <w:qFormat/>
    <w:uiPriority w:val="0"/>
    <w:rPr>
      <w:rFonts w:hint="default" w:ascii="Times New Roman" w:hAnsi="Times New Roman" w:cs="Times New Roman"/>
      <w:color w:val="000000"/>
      <w:sz w:val="21"/>
      <w:szCs w:val="21"/>
      <w:u w:val="none"/>
    </w:rPr>
  </w:style>
  <w:style w:type="character" w:customStyle="1" w:styleId="39">
    <w:name w:val="font0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28</Pages>
  <Words>5822</Words>
  <Characters>6231</Characters>
  <Lines>31</Lines>
  <Paragraphs>8</Paragraphs>
  <TotalTime>14</TotalTime>
  <ScaleCrop>false</ScaleCrop>
  <LinksUpToDate>false</LinksUpToDate>
  <CharactersWithSpaces>6368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CiCi</cp:lastModifiedBy>
  <cp:lastPrinted>2025-08-18T01:31:00Z</cp:lastPrinted>
  <dcterms:modified xsi:type="dcterms:W3CDTF">2025-08-20T06:00:12Z</dcterms:modified>
  <dc:title>扬州自来水总公司工程材料招标邀请书</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DD3327F896C0424B9DA47F8417CE6F72_13</vt:lpwstr>
  </property>
  <property fmtid="{D5CDD505-2E9C-101B-9397-08002B2CF9AE}" pid="4" name="KSOTemplateDocerSaveRecord">
    <vt:lpwstr>eyJoZGlkIjoiMWY2ZDU0ZDZhNmVlYjY1MDk5NDhmOWFjMmQ5OTgwNzEiLCJ1c2VySWQiOiI2NDM3MTIwNTIifQ==</vt:lpwstr>
  </property>
</Properties>
</file>